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pageBreakBefore w:val="false"/>
        <w:spacing w:lineRule="auto" w:line="276" w:before="0" w:after="14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  <w:lang w:val="pl-PL" w:eastAsia="zh-CN" w:bidi="hi-IN"/>
              </w:rPr>
              <w:t>Autorska Pracownia Projektowa – Architekt Karol Barcz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ul. Smocza 46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70-731 Szczecin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biuro: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ul. Piotra Skargi 15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71-422 Szczecin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tel. +48 600 94 90 88</w:t>
            </w:r>
          </w:p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karolbarcz@gmail.com</w:t>
            </w:r>
          </w:p>
        </w:tc>
      </w:tr>
    </w:tbl>
    <w:p>
      <w:pPr>
        <w:pStyle w:val="Normal1"/>
        <w:spacing w:lineRule="auto" w:line="276" w:before="0" w:after="140"/>
        <w:ind w:left="737" w:hang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1"/>
        <w:spacing w:lineRule="auto" w:line="276" w:before="0" w:after="1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OPRACOWANIE:</w:t>
            </w:r>
          </w:p>
        </w:tc>
      </w:tr>
    </w:tbl>
    <w:p>
      <w:pPr>
        <w:pStyle w:val="Normal1"/>
        <w:spacing w:lineRule="auto" w:line="276" w:before="0" w:after="14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1"/>
        <w:spacing w:lineRule="auto" w:line="276" w:before="0" w:after="140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PROJEKT WYKONAWCZY – ETAP 1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INWESTYCJA:</w:t>
            </w:r>
          </w:p>
        </w:tc>
      </w:tr>
    </w:tbl>
    <w:p>
      <w:pPr>
        <w:pStyle w:val="Normal1"/>
        <w:spacing w:lineRule="auto" w:line="276" w:before="0" w:after="14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1"/>
        <w:spacing w:lineRule="auto" w:line="276" w:before="0" w:after="140"/>
        <w:jc w:val="center"/>
        <w:rPr>
          <w:b w:val="false"/>
          <w:bCs w:val="false"/>
        </w:rPr>
      </w:pPr>
      <w:r>
        <w:rPr>
          <w:b w:val="false"/>
          <w:bCs w:val="false"/>
          <w:color w:val="000000"/>
          <w:sz w:val="20"/>
          <w:szCs w:val="20"/>
        </w:rPr>
        <w:t xml:space="preserve">REMONT BOISK ORAZ MONTAŻ MAŁEJ ARCHITEKTURY ORAZ ROZBUDOWA ISTNIEJĄCYCH INSTALACJI ELEKTRYCZNYCH O OŚWIETLENIE ORAZ INSTALACJE CCTV </w:t>
      </w:r>
      <w:r>
        <w:rPr>
          <w:rFonts w:eastAsia="SimSun" w:cs="Arial"/>
          <w:b w:val="false"/>
          <w:bCs w:val="false"/>
          <w:color w:val="000000"/>
          <w:kern w:val="2"/>
          <w:sz w:val="20"/>
          <w:szCs w:val="20"/>
          <w:lang w:val="pl-PL" w:eastAsia="zh-CN" w:bidi="hi-IN"/>
        </w:rPr>
        <w:t>PRZY SZKOLE</w:t>
      </w:r>
      <w:r>
        <w:rPr>
          <w:rFonts w:eastAsia="SimSun" w:cs="Segoe UI Historic;Segoe UI" w:ascii="Segoe UI Historic;Segoe UI" w:hAnsi="Segoe UI Historic;Segoe UI"/>
          <w:b w:val="false"/>
          <w:bCs w:val="false"/>
          <w:i w:val="false"/>
          <w:caps w:val="false"/>
          <w:smallCaps w:val="false"/>
          <w:color w:val="050505"/>
          <w:spacing w:val="0"/>
          <w:sz w:val="20"/>
          <w:szCs w:val="20"/>
        </w:rPr>
        <w:t xml:space="preserve"> </w:t>
      </w:r>
      <w:r>
        <w:rPr>
          <w:rFonts w:eastAsia="SimSun" w:cs="Arial"/>
          <w:b w:val="false"/>
          <w:bCs w:val="false"/>
          <w:i w:val="false"/>
          <w:caps w:val="false"/>
          <w:smallCaps w:val="false"/>
          <w:color w:val="050505"/>
          <w:spacing w:val="0"/>
          <w:sz w:val="20"/>
          <w:szCs w:val="20"/>
        </w:rPr>
        <w:t>PODSTAWOWEJ NR 11 IM. UNICEF-U W SZCZECINIE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ADRES INWESTYCJI:</w:t>
            </w:r>
          </w:p>
        </w:tc>
      </w:tr>
    </w:tbl>
    <w:p>
      <w:pPr>
        <w:pStyle w:val="Tekstdostronytytulowej"/>
        <w:spacing w:lineRule="auto" w:line="240" w:before="171" w:after="171"/>
        <w:jc w:val="center"/>
        <w:rPr/>
      </w:pPr>
      <w:r>
        <w:rPr>
          <w:color w:val="000000"/>
          <w:sz w:val="20"/>
          <w:szCs w:val="20"/>
        </w:rPr>
        <w:t>ul. Dubois 38, 71-610 Szczecin</w:t>
        <w:br/>
      </w:r>
      <w:r>
        <w:rPr>
          <w:rFonts w:cs="Arial"/>
          <w:b w:val="false"/>
          <w:i w:val="false"/>
          <w:caps w:val="false"/>
          <w:smallCaps w:val="false"/>
          <w:color w:val="333333"/>
          <w:spacing w:val="0"/>
          <w:sz w:val="20"/>
          <w:szCs w:val="20"/>
        </w:rPr>
        <w:t>dz. 2/14 obr. 3027</w:t>
      </w:r>
      <w:r>
        <w:rPr>
          <w:rFonts w:cs="Arial"/>
          <w:color w:val="000000"/>
          <w:sz w:val="20"/>
          <w:szCs w:val="20"/>
        </w:rPr>
        <w:t xml:space="preserve"> 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KATEGORIA OBIEKTU:</w:t>
            </w:r>
          </w:p>
        </w:tc>
      </w:tr>
    </w:tbl>
    <w:p>
      <w:pPr>
        <w:pStyle w:val="Normal1"/>
        <w:spacing w:lineRule="auto" w:line="276" w:before="228" w:after="228"/>
        <w:jc w:val="center"/>
        <w:rPr>
          <w:rFonts w:eastAsia="SimSun" w:cs="Arial"/>
          <w:color w:val="000000"/>
          <w:kern w:val="2"/>
          <w:sz w:val="20"/>
          <w:szCs w:val="20"/>
          <w:lang w:val="pl-PL" w:eastAsia="zh-CN" w:bidi="hi-IN"/>
        </w:rPr>
      </w:pPr>
      <w:r>
        <w:rPr>
          <w:color w:val="000000"/>
          <w:sz w:val="20"/>
          <w:szCs w:val="20"/>
        </w:rPr>
        <w:t>KATEGORIA V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KOD CPV:</w:t>
            </w:r>
          </w:p>
        </w:tc>
      </w:tr>
    </w:tbl>
    <w:p>
      <w:pPr>
        <w:pStyle w:val="Tekstdostronytytulowej"/>
        <w:spacing w:before="228" w:after="228"/>
        <w:jc w:val="center"/>
        <w:rPr/>
      </w:pPr>
      <w:hyperlink r:id="rId2">
        <w:r>
          <w:rPr>
            <w:rStyle w:val="Czeinternetowe"/>
            <w:rFonts w:ascii="Lato" w:hAnsi="Lato"/>
            <w:b w:val="false"/>
            <w:i w:val="false"/>
            <w:caps w:val="false"/>
            <w:smallCaps w:val="false"/>
            <w:strike w:val="false"/>
            <w:dstrike w:val="false"/>
            <w:color w:val="232323"/>
            <w:spacing w:val="0"/>
            <w:sz w:val="21"/>
            <w:u w:val="none"/>
            <w:effect w:val="none"/>
            <w:shd w:fill="auto" w:val="clear"/>
          </w:rPr>
          <w:t>45236119-7</w:t>
        </w:r>
      </w:hyperlink>
      <w:r>
        <w:rPr>
          <w:shd w:fill="auto" w:val="clear"/>
        </w:rPr>
        <w:t xml:space="preserve"> 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INWESTOR:</w:t>
            </w:r>
          </w:p>
        </w:tc>
      </w:tr>
    </w:tbl>
    <w:p>
      <w:pPr>
        <w:pStyle w:val="Tekstdostronytytulowej"/>
        <w:spacing w:before="285" w:after="285"/>
        <w:jc w:val="center"/>
        <w:rPr>
          <w:color w:val="000000"/>
        </w:rPr>
      </w:pPr>
      <w:r>
        <w:rPr>
          <w:color w:val="000000"/>
          <w:sz w:val="20"/>
          <w:szCs w:val="20"/>
        </w:rPr>
        <w:t>GMINA MIASTO SZCZECIN</w:t>
        <w:br/>
        <w:t>BIURO INWESTYCJI I REMONTÓW OŚWIATOWYCH</w:t>
        <w:br/>
        <w:t>pl. Armii Krajowej 1</w:t>
        <w:br/>
        <w:t>70-456 Szczecin</w:t>
      </w:r>
    </w:p>
    <w:tbl>
      <w:tblPr>
        <w:tblStyle w:val="TableNormal"/>
        <w:tblW w:w="9638" w:type="dxa"/>
        <w:jc w:val="left"/>
        <w:tblInd w:w="8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38"/>
      </w:tblGrid>
      <w:tr>
        <w:trPr/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uppressAutoHyphens w:val="false"/>
              <w:spacing w:before="0" w:after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lang w:val="pl-PL" w:eastAsia="zh-CN" w:bidi="hi-IN"/>
              </w:rPr>
              <w:t>DATA:</w:t>
            </w:r>
          </w:p>
        </w:tc>
      </w:tr>
    </w:tbl>
    <w:p>
      <w:pPr>
        <w:pStyle w:val="Normal1"/>
        <w:spacing w:lineRule="auto" w:line="276" w:before="0" w:after="14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spacing w:lineRule="auto" w:line="276" w:before="0" w:after="140"/>
        <w:jc w:val="center"/>
        <w:rPr>
          <w:sz w:val="20"/>
          <w:szCs w:val="20"/>
        </w:rPr>
      </w:pPr>
      <w:r>
        <w:rPr>
          <w:sz w:val="20"/>
          <w:szCs w:val="20"/>
        </w:rPr>
        <w:t>GRUDZIEŃ  2025</w:t>
      </w:r>
    </w:p>
    <w:p>
      <w:pPr>
        <w:pStyle w:val="Normal1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</w:p>
    <w:tbl>
      <w:tblPr>
        <w:tblW w:w="9448" w:type="dxa"/>
        <w:jc w:val="left"/>
        <w:tblInd w:w="94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141"/>
        <w:gridCol w:w="3209"/>
        <w:gridCol w:w="3098"/>
      </w:tblGrid>
      <w:tr>
        <w:trPr/>
        <w:tc>
          <w:tcPr>
            <w:tcW w:w="3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BRANŻA/PROJEKTANT:</w:t>
            </w:r>
          </w:p>
        </w:tc>
        <w:tc>
          <w:tcPr>
            <w:tcW w:w="3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IMIĘ NAZWISKO/NR UPRAWNIEŃ</w:t>
            </w:r>
          </w:p>
        </w:tc>
        <w:tc>
          <w:tcPr>
            <w:tcW w:w="3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PODPIS</w:t>
            </w:r>
          </w:p>
        </w:tc>
      </w:tr>
      <w:tr>
        <w:trPr/>
        <w:tc>
          <w:tcPr>
            <w:tcW w:w="944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ARCHITEKTURA</w:t>
            </w:r>
          </w:p>
        </w:tc>
      </w:tr>
      <w:tr>
        <w:trPr/>
        <w:tc>
          <w:tcPr>
            <w:tcW w:w="314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Autor projektu:</w:t>
            </w:r>
          </w:p>
        </w:tc>
        <w:tc>
          <w:tcPr>
            <w:tcW w:w="320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  <w:t>mgr inż. arch.  Karol  Barcz</w:t>
            </w:r>
          </w:p>
          <w:p>
            <w:pPr>
              <w:pStyle w:val="Tabelestrontytuowych"/>
              <w:widowControl w:val="false"/>
              <w:rPr/>
            </w:pPr>
            <w:r>
              <w:rPr/>
              <w:t>nr upr. 21/ZPOIA/OKK/2013</w:t>
            </w:r>
          </w:p>
        </w:tc>
        <w:tc>
          <w:tcPr>
            <w:tcW w:w="30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elestrontytuowych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  <w:r>
        <w:br w:type="page"/>
      </w:r>
    </w:p>
    <w:p>
      <w:pPr>
        <w:pStyle w:val="Normal1"/>
        <w:keepNext w:val="false"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sz w:val="16"/>
          <w:szCs w:val="16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CZĘŚĆ OPISOWA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right" w:pos="9638" w:leader="none"/>
        </w:tabs>
        <w:spacing w:lineRule="auto" w:line="240" w:before="0" w:after="0"/>
        <w:ind w:left="0" w:right="0" w:hanging="0"/>
        <w:jc w:val="left"/>
        <w:rPr>
          <w:sz w:val="16"/>
          <w:szCs w:val="16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>SPIS ZAWARTOŚCI OPRACOWANIA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tabs>
          <w:tab w:val="clear" w:pos="720"/>
          <w:tab w:val="right" w:pos="9638" w:leader="none"/>
        </w:tabs>
        <w:spacing w:lineRule="auto" w:line="240" w:before="0" w:after="0"/>
        <w:ind w:left="0" w:right="0" w:hanging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r>
            <w:fldChar w:fldCharType="begin"/>
          </w:r>
          <w:r>
            <w:rPr>
              <w:webHidden/>
              <w:rStyle w:val="Czeindeksu"/>
              <w:vanish w:val="false"/>
            </w:rPr>
            <w:instrText xml:space="preserve"> TOC \z \o "1-9" \u \t "Nagłówek 1,1,Nagłówek 2,2,Nagłówek 3,3,Nagłówek 4,4,Nagłówek 5,5,Nagłówek 6,6" \h</w:instrText>
          </w:r>
          <w:r>
            <w:rPr>
              <w:webHidden/>
              <w:rStyle w:val="Czeindeksu"/>
              <w:vanish w:val="false"/>
            </w:rPr>
            <w:fldChar w:fldCharType="separate"/>
          </w:r>
          <w:hyperlink w:anchor="__RefHeading___Toc3129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1 . PODSTAWA OPRACOWANIA</w:t>
              <w:tab/>
              <w:t>5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27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2 . PRZEDMIOT ZAMIERZENIA BUDOWLANEGO</w:t>
              <w:tab/>
              <w:t>5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25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3 . DANE INWESTORA</w:t>
              <w:tab/>
              <w:t>5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23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4 . LOKALIZACJA INWESTYCJI</w:t>
              <w:tab/>
              <w:t>5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21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5 . ISTNIEJĄCY STAN ZAGOSPODAROWANIA TERENU</w:t>
              <w:tab/>
              <w:t>5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19_4050815349">
            <w:r>
              <w:rPr>
                <w:webHidden/>
                <w:rStyle w:val="Czeindeksu"/>
                <w:vanish w:val="false"/>
              </w:rPr>
              <w:t>5.1. PRACE ROZBIÓRKOWE</w:t>
              <w:tab/>
              <w:t>5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17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6 . PROJEKTOWANE ZAGOSPODAROWANIE TERENU</w:t>
              <w:tab/>
              <w:t>6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43_931842663">
            <w:r>
              <w:rPr>
                <w:webHidden/>
                <w:rStyle w:val="Czeindeksu"/>
                <w:vanish w:val="false"/>
              </w:rPr>
              <w:t>6.1.  ZAKRES PRAC PROJEKTOWYCH:</w:t>
              <w:tab/>
              <w:t>6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41_931842663">
            <w:r>
              <w:rPr>
                <w:webHidden/>
                <w:rStyle w:val="Czeindeksu"/>
                <w:vanish w:val="false"/>
              </w:rPr>
              <w:t>6.2.  UKŁAD KOMUNIKACYJNY</w:t>
              <w:tab/>
              <w:t>6</w:t>
            </w:r>
          </w:hyperlink>
        </w:p>
        <w:p>
          <w:pPr>
            <w:pStyle w:val="Spistreci3"/>
            <w:tabs>
              <w:tab w:val="clear" w:pos="9071"/>
              <w:tab w:val="right" w:pos="9638" w:leader="dot"/>
            </w:tabs>
            <w:rPr/>
          </w:pPr>
          <w:hyperlink w:anchor="__RefHeading___Toc3147_4050815349">
            <w:r>
              <w:rPr>
                <w:webHidden/>
                <w:rStyle w:val="Czeindeksu"/>
                <w:vanish w:val="false"/>
              </w:rPr>
              <w:t>6.3. UKSZTAŁTOWANIE TERENU I ZIELENI – PROJEKT ZIELENI</w:t>
              <w:tab/>
              <w:t>6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39_931842663">
            <w:r>
              <w:rPr>
                <w:webHidden/>
                <w:rStyle w:val="Czeindeksu"/>
                <w:vanish w:val="false"/>
              </w:rPr>
              <w:t>6.4.  ROBOTY ZIEMNE</w:t>
              <w:tab/>
              <w:t>6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37_931842663">
            <w:r>
              <w:rPr>
                <w:webHidden/>
                <w:rStyle w:val="Czeindeksu"/>
                <w:vanish w:val="false"/>
              </w:rPr>
              <w:t>6.5.  KONTROLA PODŁOŻA GRUNTOWEGO</w:t>
              <w:tab/>
              <w:t>7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35_931842663">
            <w:r>
              <w:rPr>
                <w:webHidden/>
                <w:rStyle w:val="Czeindeksu"/>
                <w:vanish w:val="false"/>
              </w:rPr>
              <w:t>6.6.  UKSZTAŁTOWANIE WYSOKOŚCIOWE</w:t>
              <w:tab/>
              <w:t>7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33_931842663">
            <w:r>
              <w:rPr>
                <w:webHidden/>
                <w:rStyle w:val="Czeindeksu"/>
                <w:vanish w:val="false"/>
              </w:rPr>
              <w:t>6.7.  KORYTOWANIE I PRZYGOTOWANIE PODŁOŻA POD CIĄGI PIESZE I POSADOWIENIA MAŁEJ ARCHITEKTURY</w:t>
              <w:tab/>
              <w:t>7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31_931842663">
            <w:r>
              <w:rPr>
                <w:webHidden/>
                <w:rStyle w:val="Czeindeksu"/>
                <w:vanish w:val="false"/>
              </w:rPr>
              <w:t>6.8. NAWIERZCHNIE</w:t>
              <w:tab/>
              <w:t>7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4495_3759882591">
            <w:r>
              <w:rPr>
                <w:webHidden/>
                <w:rStyle w:val="Czeindeksu"/>
                <w:vanish w:val="false"/>
              </w:rPr>
              <w:t>6.8.1 (N1) NAWIERZCHNIA UTWARDZONA – KOSTKA BETONOWA</w:t>
              <w:tab/>
              <w:t>7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4497_3759882591">
            <w:r>
              <w:rPr>
                <w:webHidden/>
                <w:rStyle w:val="Czeindeksu"/>
                <w:vanish w:val="false"/>
              </w:rPr>
              <w:t>6.8.2 (N3/N4) NAWIERZCHNIA POLIURETANOWA NATRYSKOWA</w:t>
              <w:tab/>
              <w:t>8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4497_3759882591_kopia_">
            <w:r>
              <w:rPr>
                <w:webHidden/>
                <w:rStyle w:val="Czeindeksu"/>
                <w:vanish w:val="false"/>
              </w:rPr>
              <w:t>WYKONANIE NAWIERZCHNI</w:t>
              <w:tab/>
              <w:t>9</w:t>
            </w:r>
          </w:hyperlink>
        </w:p>
        <w:p>
          <w:pPr>
            <w:pStyle w:val="Spistreci3"/>
            <w:tabs>
              <w:tab w:val="clear" w:pos="9071"/>
              <w:tab w:val="right" w:pos="9638" w:leader="dot"/>
            </w:tabs>
            <w:rPr/>
          </w:pPr>
          <w:hyperlink w:anchor="__RefHeading___Toc3137_4050815349">
            <w:r>
              <w:rPr>
                <w:webHidden/>
                <w:rStyle w:val="Czeindeksu"/>
                <w:vanish w:val="false"/>
              </w:rPr>
              <w:t>6.9. OBRZEŻA</w:t>
              <w:tab/>
              <w:t>10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13_4050815349">
            <w:r>
              <w:rPr>
                <w:webHidden/>
                <w:rStyle w:val="Czeindeksu"/>
                <w:vanish w:val="false"/>
              </w:rPr>
              <w:t>6.10. MAŁA ARCHITEKTURA</w:t>
              <w:tab/>
              <w:t>10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11_4050815349_kopia_">
            <w:r>
              <w:rPr>
                <w:webHidden/>
                <w:rStyle w:val="Czeindeksu"/>
                <w:vanish w:val="false"/>
              </w:rPr>
              <w:t>6.11. BOISKO DO PIŁKI SIATKOWEJ ORAZ KOSZYKOWEJ</w:t>
              <w:tab/>
              <w:t>10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9_4050815349">
            <w:r>
              <w:rPr>
                <w:webHidden/>
                <w:rStyle w:val="Czeindeksu"/>
                <w:vanish w:val="false"/>
              </w:rPr>
              <w:t>6.12. STREFA SIŁOWNI STREETWORKOUT</w:t>
              <w:tab/>
              <w:t>10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9_4050815349_kopia_">
            <w:r>
              <w:rPr>
                <w:webHidden/>
                <w:rStyle w:val="Czeindeksu"/>
                <w:vanish w:val="false"/>
              </w:rPr>
              <w:t>6.13. STREFA TENISA STOŁOWEGO I BOISKA TYPU PANNA</w:t>
              <w:tab/>
              <w:t>10</w:t>
            </w:r>
          </w:hyperlink>
        </w:p>
        <w:p>
          <w:pPr>
            <w:pStyle w:val="Spistreci3"/>
            <w:tabs>
              <w:tab w:val="clear" w:pos="9071"/>
              <w:tab w:val="right" w:pos="9638" w:leader="dot"/>
            </w:tabs>
            <w:rPr/>
          </w:pPr>
          <w:hyperlink w:anchor="__RefHeading___Toc9949_931842663">
            <w:r>
              <w:rPr>
                <w:webHidden/>
                <w:rStyle w:val="Czeindeksu"/>
                <w:vanish w:val="false"/>
              </w:rPr>
              <w:t>6.14. INSTALACJE ELEKTRYCZNE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1004_3614978031">
            <w:r>
              <w:rPr>
                <w:webHidden/>
                <w:rStyle w:val="Czeindeksu"/>
                <w:vanish w:val="false"/>
              </w:rPr>
              <w:t>Zasilanie oświetlenia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1002_3614978031">
            <w:r>
              <w:rPr>
                <w:webHidden/>
                <w:rStyle w:val="Czeindeksu"/>
                <w:vanish w:val="false"/>
              </w:rPr>
              <w:t>Słupy oświetleniowe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1000_3614978031">
            <w:r>
              <w:rPr>
                <w:webHidden/>
                <w:rStyle w:val="Czeindeksu"/>
                <w:vanish w:val="false"/>
              </w:rPr>
              <w:t>Montaż opraw oświetleniowych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8_3614978031">
            <w:r>
              <w:rPr>
                <w:webHidden/>
                <w:rStyle w:val="Czeindeksu"/>
                <w:vanish w:val="false"/>
              </w:rPr>
              <w:t>Sterowanie oświetleniem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6_3614978031">
            <w:r>
              <w:rPr>
                <w:webHidden/>
                <w:rStyle w:val="Czeindeksu"/>
                <w:vanish w:val="false"/>
              </w:rPr>
              <w:t>Posadowienie słupów oświetleniowych</w:t>
              <w:tab/>
              <w:t>11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4_3614978031">
            <w:r>
              <w:rPr>
                <w:webHidden/>
                <w:rStyle w:val="Czeindeksu"/>
                <w:vanish w:val="false"/>
              </w:rPr>
              <w:t>Skrzyżowania i zbliżenia z istniejącym uzbrojeniem technicznym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2_3614978031">
            <w:r>
              <w:rPr>
                <w:webHidden/>
                <w:rStyle w:val="Czeindeksu"/>
                <w:vanish w:val="false"/>
              </w:rPr>
              <w:t>Oznaczenia linii kablowych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90_3614978031">
            <w:r>
              <w:rPr>
                <w:webHidden/>
                <w:rStyle w:val="Czeindeksu"/>
                <w:vanish w:val="false"/>
              </w:rPr>
              <w:t>Osprzęt kablowy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88_3614978031">
            <w:r>
              <w:rPr>
                <w:webHidden/>
                <w:rStyle w:val="Czeindeksu"/>
                <w:vanish w:val="false"/>
              </w:rPr>
              <w:t>Charakterystyka ekologiczna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86_3614978031">
            <w:r>
              <w:rPr>
                <w:webHidden/>
                <w:rStyle w:val="Czeindeksu"/>
                <w:vanish w:val="false"/>
              </w:rPr>
              <w:t>Zakres oddziaływania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84_3614978031">
            <w:r>
              <w:rPr>
                <w:webHidden/>
                <w:rStyle w:val="Czeindeksu"/>
                <w:vanish w:val="false"/>
              </w:rPr>
              <w:t>Ochrona przeciwporażeniowa dla infrastruktury elektroenergetycznej</w:t>
              <w:tab/>
              <w:t>12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982_3614978031">
            <w:r>
              <w:rPr>
                <w:webHidden/>
                <w:rStyle w:val="Czeindeksu"/>
                <w:vanish w:val="false"/>
              </w:rPr>
              <w:t>Uwagi końcowe</w:t>
              <w:tab/>
              <w:t>13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7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7 . ZESTAWIENIE POWIERZCHNI</w:t>
              <w:tab/>
              <w:t>13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5_4050815349">
            <w:r>
              <w:rPr>
                <w:webHidden/>
                <w:rStyle w:val="Czeindeksu"/>
                <w:vanish w:val="false"/>
              </w:rPr>
              <w:t xml:space="preserve"> </w:t>
            </w:r>
            <w:r>
              <w:rPr>
                <w:rStyle w:val="Czeindeksu"/>
              </w:rPr>
              <w:t>8 . UWARUNKOWANIA FORMALNO-PRAWNE</w:t>
              <w:tab/>
              <w:t>13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3_4050815349">
            <w:r>
              <w:rPr>
                <w:webHidden/>
                <w:rStyle w:val="Czeindeksu"/>
                <w:vanish w:val="false"/>
              </w:rPr>
              <w:t>8.1. MPZT</w:t>
              <w:tab/>
              <w:t>13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101_4050815349">
            <w:r>
              <w:rPr>
                <w:webHidden/>
                <w:rStyle w:val="Czeindeksu"/>
                <w:vanish w:val="false"/>
              </w:rPr>
              <w:t>8.2. OCHRONA KONSERWATORSKA</w:t>
              <w:tab/>
              <w:t>13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99_4050815349">
            <w:r>
              <w:rPr>
                <w:webHidden/>
                <w:rStyle w:val="Czeindeksu"/>
                <w:vanish w:val="false"/>
              </w:rPr>
              <w:t>8.3. DOSTĘPNOŚĆ DLA OSÓB NIEPEŁNOSPRAWNYCH</w:t>
              <w:tab/>
              <w:t>13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97_4050815349">
            <w:r>
              <w:rPr>
                <w:webHidden/>
                <w:rStyle w:val="Czeindeksu"/>
                <w:vanish w:val="false"/>
              </w:rPr>
              <w:t>8.4. EKSPLOATACJA GÓRNICZA</w:t>
              <w:tab/>
              <w:t>13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95_4050815349">
            <w:r>
              <w:rPr>
                <w:webHidden/>
                <w:rStyle w:val="Czeindeksu"/>
                <w:vanish w:val="false"/>
              </w:rPr>
              <w:t>8.5. ZAGROŻENIA DLA ŚRODOWISKA, ZDROWIA LUDZI I OBIEKTÓW SĄSIEDNICH</w:t>
              <w:tab/>
              <w:t>14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93_4050815349">
            <w:r>
              <w:rPr>
                <w:webHidden/>
                <w:rStyle w:val="Czeindeksu"/>
                <w:vanish w:val="false"/>
              </w:rPr>
              <w:t>8.6. GOSPODAROWANIE ODPADAMI</w:t>
              <w:tab/>
              <w:t>14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91_4050815349">
            <w:r>
              <w:rPr>
                <w:webHidden/>
                <w:rStyle w:val="Czeindeksu"/>
                <w:vanish w:val="false"/>
              </w:rPr>
              <w:t>8.7. WARUNKI OCHRONY PRZECIWPOŻAROWEJ</w:t>
              <w:tab/>
              <w:t>14</w:t>
            </w:r>
          </w:hyperlink>
        </w:p>
        <w:p>
          <w:pPr>
            <w:pStyle w:val="Spistreci2"/>
            <w:tabs>
              <w:tab w:val="clear" w:pos="9355"/>
              <w:tab w:val="right" w:pos="9638" w:leader="dot"/>
            </w:tabs>
            <w:rPr/>
          </w:pPr>
          <w:hyperlink w:anchor="__RefHeading___Toc3089_4050815349">
            <w:r>
              <w:rPr>
                <w:webHidden/>
                <w:rStyle w:val="Czeindeksu"/>
                <w:vanish w:val="false"/>
              </w:rPr>
              <w:t>8.8. OBSZAR ODDZIAŁYWANIA OBIEKTU</w:t>
              <w:tab/>
              <w:t>14</w:t>
            </w:r>
          </w:hyperlink>
          <w:r>
            <w:rPr>
              <w:rStyle w:val="Czeindeksu"/>
              <w:vanish w:val="false"/>
            </w:rPr>
            <w:fldChar w:fldCharType="end"/>
          </w:r>
        </w:p>
      </w:sdtContent>
    </w:sdt>
    <w:p>
      <w:pPr>
        <w:pStyle w:val="Normal1"/>
        <w:keepNext w:val="false"/>
        <w:keepLines w:val="false"/>
        <w:pageBreakBefore w:val="false"/>
        <w:widowControl/>
        <w:tabs>
          <w:tab w:val="clear" w:pos="720"/>
          <w:tab w:val="right" w:pos="9638" w:leader="none"/>
        </w:tabs>
        <w:spacing w:lineRule="auto" w:line="240" w:before="0" w:after="0"/>
        <w:ind w:left="0" w:right="0" w:hanging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r>
    </w:p>
    <w:p>
      <w:pPr>
        <w:pStyle w:val="Normal1"/>
        <w:rPr>
          <w:b/>
          <w:sz w:val="20"/>
          <w:szCs w:val="20"/>
        </w:rPr>
      </w:pPr>
      <w:r>
        <w:rPr>
          <w:b/>
          <w:sz w:val="20"/>
          <w:szCs w:val="20"/>
        </w:rPr>
        <w:t>CZĘŚĆ RYSUNKOWA</w:t>
      </w:r>
    </w:p>
    <w:p>
      <w:pPr>
        <w:pStyle w:val="Normal1"/>
        <w:rPr>
          <w:b/>
          <w:sz w:val="20"/>
          <w:szCs w:val="20"/>
        </w:rPr>
      </w:pPr>
      <w:r>
        <w:rPr>
          <w:b/>
          <w:sz w:val="20"/>
          <w:szCs w:val="20"/>
        </w:rPr>
        <w:t>SPIS RYSUNKÓW</w:t>
      </w:r>
    </w:p>
    <w:tbl>
      <w:tblPr>
        <w:tblStyle w:val="Table9"/>
        <w:tblW w:w="9632" w:type="dxa"/>
        <w:jc w:val="left"/>
        <w:tblInd w:w="-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25"/>
        <w:gridCol w:w="8506"/>
      </w:tblGrid>
      <w:tr>
        <w:trPr/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ind w:right="397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rys.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Tytuł rys.</w:t>
            </w:r>
          </w:p>
        </w:tc>
      </w:tr>
      <w:tr>
        <w:trPr/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PW01.1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ISTNIEJĄCE ZAGOSPODAROWANIE TERENU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PW01.2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 ROZBIÓREK</w:t>
            </w:r>
          </w:p>
        </w:tc>
      </w:tr>
      <w:tr>
        <w:trPr/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PW01.3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 ZAGOSPODAROWANIA TERENU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PW01.4.1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PW01.4.2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PW01.4.3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PW01.4.4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PW01.4.5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PW01.4.6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PW01.4.7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PW01.4.8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PW01.4.9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PW01.4.10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WYPOSAŻENIA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PW01.5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RZUT SZCZEGÓŁOWY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PW01.6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ZESTAWIENIE WARSTW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PW01.7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DETAL SIEDZISK - RZUT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PW01.8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DETAL SIEDZISK - PRZEKRÓJ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PW01.9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PREFABRYKATY BETONOWE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PW01.10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ELEMENTY BETONOWE I SCHODY - RZUT</w:t>
            </w:r>
          </w:p>
        </w:tc>
      </w:tr>
      <w:tr>
        <w:trPr>
          <w:trHeight w:val="280" w:hRule="atLeast"/>
        </w:trPr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PW.01.11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DETAL PIŁKOCHWYTÓW</w:t>
            </w:r>
          </w:p>
        </w:tc>
      </w:tr>
      <w:tr>
        <w:trPr>
          <w:trHeight w:val="280" w:hRule="atLeast"/>
        </w:trPr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PW01.12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PRZEKROJE</w:t>
            </w:r>
          </w:p>
        </w:tc>
      </w:tr>
    </w:tbl>
    <w:p>
      <w:pPr>
        <w:pStyle w:val="Normal1"/>
        <w:jc w:val="both"/>
        <w:rPr>
          <w:sz w:val="20"/>
          <w:szCs w:val="20"/>
        </w:rPr>
      </w:pPr>
      <w:r>
        <w:rPr>
          <w:sz w:val="20"/>
          <w:szCs w:val="20"/>
        </w:rPr>
      </w:r>
      <w:bookmarkStart w:id="0" w:name="_lare0s56gb2w"/>
      <w:bookmarkStart w:id="1" w:name="_lare0s56gb2w"/>
      <w:bookmarkEnd w:id="1"/>
    </w:p>
    <w:p>
      <w:pPr>
        <w:pStyle w:val="Normal1"/>
        <w:keepNext w:val="true"/>
        <w:spacing w:lineRule="auto" w:line="240" w:before="113" w:after="113"/>
        <w:rPr>
          <w:b/>
          <w:sz w:val="20"/>
          <w:szCs w:val="20"/>
        </w:rPr>
      </w:pPr>
      <w:r>
        <w:rPr>
          <w:b/>
          <w:sz w:val="20"/>
          <w:szCs w:val="20"/>
        </w:rPr>
        <w:t>SPIS ZAŁĄCZNIKÓW</w:t>
      </w:r>
    </w:p>
    <w:tbl>
      <w:tblPr>
        <w:tblStyle w:val="Table10"/>
        <w:tblW w:w="9632" w:type="dxa"/>
        <w:jc w:val="left"/>
        <w:tblInd w:w="-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125"/>
        <w:gridCol w:w="8506"/>
      </w:tblGrid>
      <w:tr>
        <w:trPr/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ind w:right="397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</w:t>
            </w:r>
          </w:p>
        </w:tc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</w:tr>
      <w:tr>
        <w:trPr/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ind w:right="397" w:hang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Oświadczenie projektanta</w:t>
            </w:r>
          </w:p>
        </w:tc>
      </w:tr>
    </w:tbl>
    <w:p>
      <w:pPr>
        <w:pStyle w:val="Normal1"/>
        <w:jc w:val="both"/>
        <w:rPr>
          <w:sz w:val="20"/>
          <w:szCs w:val="20"/>
        </w:rPr>
      </w:pPr>
      <w:r>
        <w:rPr>
          <w:sz w:val="20"/>
          <w:szCs w:val="20"/>
        </w:rPr>
      </w:r>
      <w:bookmarkStart w:id="2" w:name="_q3b30a48jn4p_kopia_5"/>
      <w:bookmarkStart w:id="3" w:name="_q3b30a48jn4p_kopia_5"/>
      <w:bookmarkEnd w:id="3"/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agwek2"/>
        <w:numPr>
          <w:ilvl w:val="1"/>
          <w:numId w:val="4"/>
        </w:numPr>
        <w:rPr>
          <w:color w:val="000000"/>
        </w:rPr>
      </w:pPr>
      <w:bookmarkStart w:id="4" w:name="__RefHeading___Toc3129_4050815349"/>
      <w:bookmarkStart w:id="5" w:name="_rc8sy1pbish1"/>
      <w:bookmarkEnd w:id="4"/>
      <w:bookmarkEnd w:id="5"/>
      <w:r>
        <w:rPr>
          <w:color w:val="000000"/>
        </w:rPr>
        <w:t>PODSTAWA OPRACOWANIA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276" w:before="0" w:after="0"/>
        <w:ind w:left="720" w:right="0" w:hanging="36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Wizja lokalna;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276" w:before="0" w:after="0"/>
        <w:ind w:left="720" w:right="0" w:hanging="36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Umowa z Inwestorem;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276" w:before="0" w:after="0"/>
        <w:ind w:left="720" w:right="0" w:hanging="36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Rozporządzenie Ministra Infrastruktury z dnia 12 kwietnia 2002 r. w sprawie warunków technicznych, jakim powinny odpowiadać budynki i ich usytuowanie (Dz.U. 2019 poz. 1065);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pacing w:lineRule="auto" w:line="276" w:before="0" w:after="0"/>
        <w:ind w:left="720" w:right="0" w:hanging="36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Ustawa z dnia 7 lipca 1994 r. - Prawo budowlane (Dz.U. 2019 poz. 1186);</w:t>
      </w:r>
    </w:p>
    <w:p>
      <w:pPr>
        <w:pStyle w:val="Normal1"/>
        <w:keepNext w:val="false"/>
        <w:keepLines w:val="false"/>
        <w:pageBreakBefore w:val="false"/>
        <w:widowControl/>
        <w:numPr>
          <w:ilvl w:val="0"/>
          <w:numId w:val="2"/>
        </w:numPr>
        <w:shd w:val="clear" w:fill="auto"/>
        <w:suppressAutoHyphens w:val="true"/>
        <w:bidi w:val="0"/>
        <w:spacing w:lineRule="auto" w:line="276" w:before="0" w:after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Rozporządzenie Ministra Transportu, Budownictwa i Gospodarki Morskiej z dnia 25 kwietnia 2012 r. w sprawie szczegółowego zakresu i formy projektu budowlanego (Dz.U. 2018 poz. 1935).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0"/>
        <w:ind w:left="1060" w:right="0" w:hanging="0"/>
        <w:jc w:val="both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C9211E"/>
          <w:position w:val="0"/>
          <w:sz w:val="20"/>
          <w:sz w:val="20"/>
          <w:szCs w:val="20"/>
          <w:u w:val="none"/>
          <w:vertAlign w:val="baseline"/>
        </w:rPr>
      </w:r>
    </w:p>
    <w:p>
      <w:pPr>
        <w:pStyle w:val="Nagwek2"/>
        <w:numPr>
          <w:ilvl w:val="1"/>
          <w:numId w:val="4"/>
        </w:numPr>
        <w:rPr>
          <w:color w:val="000000"/>
        </w:rPr>
      </w:pPr>
      <w:bookmarkStart w:id="6" w:name="__RefHeading___Toc3127_4050815349"/>
      <w:bookmarkStart w:id="7" w:name="_7z8yzyp76oup"/>
      <w:bookmarkEnd w:id="6"/>
      <w:bookmarkEnd w:id="7"/>
      <w:r>
        <w:rPr>
          <w:color w:val="000000"/>
        </w:rPr>
        <w:t xml:space="preserve">PRZEDMIOT </w:t>
      </w:r>
      <w:r>
        <w:rPr/>
        <w:t>ZAMIERZENIA</w:t>
      </w:r>
      <w:r>
        <w:rPr>
          <w:color w:val="000000"/>
        </w:rPr>
        <w:t xml:space="preserve"> BUDOWLANEGO</w:t>
      </w:r>
    </w:p>
    <w:p>
      <w:pPr>
        <w:pStyle w:val="Tretekstu"/>
        <w:pageBreakBefore w:val="false"/>
        <w:widowControl/>
        <w:suppressAutoHyphens w:val="true"/>
        <w:bidi w:val="0"/>
        <w:spacing w:lineRule="auto" w:line="276" w:before="0" w:after="140"/>
        <w:ind w:left="680" w:right="0" w:hanging="0"/>
        <w:jc w:val="both"/>
        <w:rPr/>
      </w:pPr>
      <w:r>
        <w:rPr>
          <w:rFonts w:eastAsia="Lucida Sans Unicode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zxx" w:bidi="zxx"/>
        </w:rPr>
        <w:t xml:space="preserve">Przedmiotem inwestycji jest projekt zagospodarowania terenu przy Szkole Podstawowej nr 11 im. UNICEF-u przy ul. Dubois </w:t>
      </w:r>
      <w:r>
        <w:rPr>
          <w:rFonts w:eastAsia="Lucida Sans Unicode" w:cs="Arial" w:ascii="Arial;sans-serif" w:hAnsi="Arial;sans-serif"/>
          <w:b w:val="false"/>
          <w:bCs w:val="false"/>
          <w:i w:val="false"/>
          <w:caps w:val="false"/>
          <w:smallCaps w:val="false"/>
          <w:strike w:val="false"/>
          <w:dstrike w:val="false"/>
          <w:color w:val="474747"/>
          <w:spacing w:val="0"/>
          <w:kern w:val="2"/>
          <w:position w:val="0"/>
          <w:sz w:val="21"/>
          <w:sz w:val="21"/>
          <w:szCs w:val="20"/>
          <w:u w:val="none"/>
          <w:shd w:fill="auto" w:val="clear"/>
          <w:vertAlign w:val="baseline"/>
          <w:lang w:val="pl-PL" w:eastAsia="zxx" w:bidi="zxx"/>
        </w:rPr>
        <w:t>38</w:t>
      </w:r>
      <w:r>
        <w:rPr>
          <w:rFonts w:eastAsia="Lucida Sans Unicode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zxx" w:bidi="zxx"/>
        </w:rPr>
        <w:t xml:space="preserve"> w Szczecinie, na działce nr 2/14 obręb 3027. Inwestycja realizowana jest w ramach Szczecińskiego Budżetu Obywatelskiego 2024. W ramach prac projektowych w etapie 1 powstanie boisko, strefa aktywności z elementami zewnętrznego wyposażenia sportowego, mała architektura (tj. siedziska) oraz zieleń.</w:t>
      </w:r>
    </w:p>
    <w:p>
      <w:pPr>
        <w:pStyle w:val="Nagwek2"/>
        <w:numPr>
          <w:ilvl w:val="1"/>
          <w:numId w:val="4"/>
        </w:numPr>
        <w:rPr>
          <w:color w:val="000000"/>
        </w:rPr>
      </w:pPr>
      <w:bookmarkStart w:id="8" w:name="__RefHeading___Toc3125_4050815349"/>
      <w:bookmarkStart w:id="9" w:name="_nailo35oja7h"/>
      <w:bookmarkEnd w:id="8"/>
      <w:bookmarkEnd w:id="9"/>
      <w:r>
        <w:rPr>
          <w:color w:val="000000"/>
        </w:rPr>
        <w:t xml:space="preserve">DANE INWESTORA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ab/>
      </w: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Gmina Miasto Szczecin </w:t>
      </w:r>
    </w:p>
    <w:p>
      <w:pPr>
        <w:pStyle w:val="Tabelestrontytuowych"/>
        <w:rPr>
          <w:color w:val="000000"/>
        </w:rPr>
      </w:pPr>
      <w:r>
        <w:rPr>
          <w:rFonts w:ascii="system-ui;apple-system;Segoe UI;Roboto;Helvetica Neue;Noto Sans;Liberation Sans;Arial;sans-serif;Apple Color Emoji;Segoe UI Emoji;Segoe UI Symbol;Noto Color Emoji" w:hAnsi="system-ui;apple-system;Segoe UI;Roboto;Helvetica Neue;Noto Sans;Liberation Sans;Arial;sans-serif;Apple Color Emoji;Segoe UI Emoji;Segoe UI Symbol;Noto Color Emoji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ab/>
      </w:r>
      <w:r>
        <w:rPr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Biuro Inwestycji i Remontów Oświatowych</w:t>
      </w:r>
    </w:p>
    <w:p>
      <w:pPr>
        <w:pStyle w:val="Normal1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ab/>
        <w:t>Plac Armii Krajowej 1</w:t>
        <w:br/>
        <w:tab/>
        <w:t xml:space="preserve">70-456 Szczecin  </w:t>
      </w:r>
    </w:p>
    <w:p>
      <w:pPr>
        <w:pStyle w:val="Nagwek2"/>
        <w:numPr>
          <w:ilvl w:val="1"/>
          <w:numId w:val="4"/>
        </w:numPr>
        <w:rPr>
          <w:color w:val="000000"/>
        </w:rPr>
      </w:pPr>
      <w:bookmarkStart w:id="10" w:name="__RefHeading___Toc3123_4050815349"/>
      <w:bookmarkStart w:id="11" w:name="_mxog0otiq1w7"/>
      <w:bookmarkEnd w:id="10"/>
      <w:bookmarkEnd w:id="11"/>
      <w:r>
        <w:rPr>
          <w:color w:val="000000"/>
        </w:rPr>
        <w:t xml:space="preserve">LOKALIZACJA INWESTYCJI </w:t>
      </w:r>
    </w:p>
    <w:p>
      <w:pPr>
        <w:pStyle w:val="Tekstdostronytytulowej"/>
        <w:pageBreakBefore w:val="false"/>
        <w:spacing w:before="57" w:after="57"/>
        <w:jc w:val="left"/>
        <w:rPr>
          <w:sz w:val="20"/>
          <w:szCs w:val="24"/>
        </w:rPr>
      </w:pPr>
      <w:r>
        <w:rPr>
          <w:rFonts w:eastAsia="NSimSun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zh-CN" w:bidi="hi-IN"/>
        </w:rPr>
        <w:tab/>
        <w:t>71-610 Szczecin</w:t>
        <w:br/>
        <w:tab/>
        <w:t>ul. Dubois 38</w:t>
        <w:br/>
        <w:tab/>
        <w:t>dz. nr. 2/14 obr. 3027</w:t>
      </w:r>
    </w:p>
    <w:p>
      <w:pPr>
        <w:pStyle w:val="Nagwek2"/>
        <w:numPr>
          <w:ilvl w:val="1"/>
          <w:numId w:val="4"/>
        </w:numPr>
        <w:rPr>
          <w:color w:val="000000"/>
        </w:rPr>
      </w:pPr>
      <w:bookmarkStart w:id="12" w:name="__RefHeading___Toc3121_4050815349"/>
      <w:bookmarkStart w:id="13" w:name="_n2cmr0nztbq8"/>
      <w:bookmarkEnd w:id="12"/>
      <w:bookmarkEnd w:id="13"/>
      <w:r>
        <w:rPr>
          <w:color w:val="000000"/>
        </w:rPr>
        <w:t>ISTNIEJĄCY STAN ZAGOSPODAROWANIA TERENU</w:t>
      </w:r>
    </w:p>
    <w:p>
      <w:pPr>
        <w:pStyle w:val="Tretekstu"/>
        <w:pageBreakBefore w:val="false"/>
        <w:widowControl/>
        <w:suppressAutoHyphens w:val="true"/>
        <w:bidi w:val="0"/>
        <w:spacing w:lineRule="auto" w:line="276" w:before="0" w:after="140"/>
        <w:ind w:left="737" w:right="0" w:hanging="0"/>
        <w:jc w:val="both"/>
        <w:rPr/>
      </w:pPr>
      <w:r>
        <w:rPr>
          <w:rFonts w:eastAsia="NSimSun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vertAlign w:val="baseline"/>
          <w:lang w:val="pl-PL" w:eastAsia="zh-CN" w:bidi="hi-IN"/>
        </w:rPr>
        <w:t xml:space="preserve">Na działce nr 2/14, obręb 3027 na </w:t>
      </w:r>
      <w:r>
        <w:rPr>
          <w:rFonts w:eastAsia="Lucida Sans Unicode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zxx" w:bidi="zxx"/>
        </w:rPr>
        <w:t xml:space="preserve">terenie Szkoły Podstawowej nr 11 im. UNICEF-u w Szczecinie </w:t>
      </w:r>
      <w:r>
        <w:rPr>
          <w:rFonts w:eastAsia="NSimSu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shd w:fill="auto" w:val="clear"/>
          <w:vertAlign w:val="baseline"/>
          <w:lang w:val="pl-PL" w:eastAsia="zh-CN" w:bidi="hi-IN"/>
        </w:rPr>
        <w:t xml:space="preserve"> znajduje się budynek szkoły podstawowej nr 11 wraz towarzyszącą infrastrukturą techniczną oraz terenami sportowo-rekreacyjnymi. W południowo-wschodnim narożniku działki zlokalizowany jest budynek szkoły, bezpośrednio na północ od budynku znajduje się teren utwardzony pełniący funkcje placu, a za nim usytuowano boisko z nawierzchnią trawiastą wyposażone w dwie bramki do piłki nożnej oraz plac zabaw wyposażony w urządzenia zabawowe i sensoryczne. W zachodniej części działki znajduje się boisko sportowe o nawierzchni betonowej, przeznaczone do remontu w ramach planowanej inwestycji. Na obszarze boiska znajdują się 2 bramki oraz 3 słupy do koszykówki. Na północ od boiska zlokalizowany jest parking dla pracowników szkoły. Teren działki jest płaski, z wyjątkiem  podwyższenia o wysokości około 1,7m w rejonie boiska będącego obiektem inwestycji. Na skarpę prowadzą trzy ciągi schodów terenowych, które częściowo przewidziano do przebudowy. Na terenie opracowania występuje zieleń w postaci trawników oraz 25 drzew zlokalizowanych wzdłuż granic boiska. </w:t>
      </w:r>
      <w:r>
        <w:rPr>
          <w:rFonts w:eastAsia="NSimSun"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kern w:val="2"/>
          <w:position w:val="0"/>
          <w:sz w:val="20"/>
          <w:sz w:val="20"/>
          <w:szCs w:val="20"/>
          <w:u w:val="none"/>
          <w:vertAlign w:val="baseline"/>
          <w:lang w:val="pl-PL" w:eastAsia="zh-CN" w:bidi="hi-IN"/>
        </w:rPr>
        <w:t xml:space="preserve"> </w:t>
      </w:r>
    </w:p>
    <w:p>
      <w:pPr>
        <w:pStyle w:val="Nagwek2"/>
        <w:numPr>
          <w:ilvl w:val="2"/>
          <w:numId w:val="4"/>
        </w:numPr>
        <w:rPr>
          <w:color w:val="000000"/>
        </w:rPr>
      </w:pPr>
      <w:bookmarkStart w:id="14" w:name="__RefHeading___Toc3119_4050815349"/>
      <w:bookmarkEnd w:id="14"/>
      <w:r>
        <w:rPr>
          <w:color w:val="000000"/>
        </w:rPr>
        <w:t>PRACE ROZBIÓRKOWE</w:t>
      </w:r>
    </w:p>
    <w:p>
      <w:pPr>
        <w:pStyle w:val="Normal1"/>
        <w:widowControl/>
        <w:shd w:val="clear" w:fill="auto"/>
        <w:spacing w:lineRule="auto" w:line="276" w:before="0" w:after="140"/>
        <w:ind w:left="737" w:right="0" w:hanging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  <w:t xml:space="preserve">W ramach projektowanego zagospodarowania terenu przewiduje się wykonanie prac rozbiórkowych obejmujących: demontaż istniejącej nawierzchni boiska, demontaż trzech słupów do koszykówki oraz dwóch bramek do piłki nożnej, a także rozbiórkę istniejących ciągów schodów terenowych zlokalizowanych na skarpie.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737" w:right="0" w:hanging="0"/>
        <w:jc w:val="left"/>
        <w:rPr>
          <w:rFonts w:ascii="Arial" w:hAnsi="Arial" w:eastAsia="Arial" w:cs="Arial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 xml:space="preserve">UWAGA: Wykonawca ma bezwzględnie obowiązek zapoznania się ze stanem istniejącym terenu oraz przeprowadzenia wizji lokalnej przed dokonaniem kalkulacji. </w:t>
      </w:r>
    </w:p>
    <w:p>
      <w:pPr>
        <w:pStyle w:val="Normal1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737" w:right="0" w:hanging="0"/>
        <w:jc w:val="left"/>
        <w:rPr>
          <w:rFonts w:ascii="Arial" w:hAnsi="Arial" w:eastAsia="Arial" w:cs="Arial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rFonts w:eastAsia="Arial" w:cs="Arial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Materiał pozyskany po wycinkach oraz odpady zebrane w wyniku prac porządkowych  przekazać do recyklingu lub w przypadku braku możliwości recyklingu – do utylizacji zgodnie z obowiązującymi przepisami.</w:t>
      </w:r>
    </w:p>
    <w:p>
      <w:pPr>
        <w:pStyle w:val="Nagwek2"/>
        <w:numPr>
          <w:ilvl w:val="1"/>
          <w:numId w:val="4"/>
        </w:numPr>
        <w:rPr/>
      </w:pPr>
      <w:bookmarkStart w:id="15" w:name="__RefHeading___Toc3117_4050815349"/>
      <w:bookmarkStart w:id="16" w:name="_4hzlghfgxnz1"/>
      <w:bookmarkEnd w:id="15"/>
      <w:bookmarkEnd w:id="16"/>
      <w:r>
        <w:rPr/>
        <w:t>PROJEKTOWANE ZAGOSPODAROWANIE TERENU</w:t>
      </w:r>
    </w:p>
    <w:p>
      <w:pPr>
        <w:pStyle w:val="Nagwek2"/>
        <w:numPr>
          <w:ilvl w:val="2"/>
          <w:numId w:val="4"/>
        </w:numPr>
        <w:rPr/>
      </w:pPr>
      <w:bookmarkStart w:id="17" w:name="__RefHeading___Toc9943_931842663"/>
      <w:bookmarkEnd w:id="17"/>
      <w:r>
        <w:rPr/>
        <w:t xml:space="preserve"> </w:t>
      </w:r>
      <w:r>
        <w:rPr/>
        <w:t>ZAKRES PRAC PROJEKTOWYCH:</w:t>
        <w:tab/>
      </w:r>
      <w:bookmarkStart w:id="18" w:name="_jypgibveczkn"/>
      <w:bookmarkEnd w:id="18"/>
    </w:p>
    <w:p>
      <w:pPr>
        <w:pStyle w:val="Normal1"/>
        <w:spacing w:lineRule="auto" w:line="276" w:before="0" w:after="140"/>
        <w:ind w:left="737" w:hanging="0"/>
        <w:rPr>
          <w:sz w:val="20"/>
          <w:szCs w:val="20"/>
        </w:rPr>
      </w:pPr>
      <w:r>
        <w:rPr>
          <w:sz w:val="20"/>
          <w:szCs w:val="20"/>
        </w:rPr>
        <w:t>W ramach planowanej inwestycji przewiduje się następujące prace budowlane: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Roboty przygotowawcze i porządkowe;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Geodezyjne wytyczenie elementów przedsięwzięcia;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Wykonanie prac ziemnych;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 xml:space="preserve">Wykonanie oświetlenia wraz z przyłączem i instalacją elektryczną – zgodnie z PW IE; 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Wykonanie ciągów pieszych i nawierzchni;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Wykonanie prac związanych z nasadzeniami i pielęgnacją zieleni;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Wykonanie i montaż elementów małej architektury tj. ławki itp.;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Montaż wyposażenia boisk;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Montaż wyposażenia elementów rekreacyjnych tj. siłowni zewnętrznej;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Wykonanie wszystkich niezbędnych robót budowlanych zapewniających prawidłowe połączenie budowanych oraz remontowanych nawierzchni z nawierzchniami istniejącymi nie podlegającymi wymianie lub remontowi (np. na granicy działek) oraz wszystkich robót niezbędnych do prawidłowego funkcjonowania przebudowanego układu komunikacyjnego;</w:t>
      </w:r>
    </w:p>
    <w:p>
      <w:pPr>
        <w:pStyle w:val="Normal1"/>
        <w:numPr>
          <w:ilvl w:val="0"/>
          <w:numId w:val="3"/>
        </w:numPr>
        <w:spacing w:lineRule="auto" w:line="276"/>
        <w:ind w:left="720" w:hanging="360"/>
        <w:jc w:val="both"/>
        <w:rPr>
          <w:b w:val="false"/>
        </w:rPr>
      </w:pPr>
      <w:r>
        <w:rPr>
          <w:sz w:val="20"/>
          <w:szCs w:val="20"/>
        </w:rPr>
        <w:t>Uporządkowanie terenu budowy po wykonaniu wszystkich czynności związanych  z inwestycją.</w:t>
      </w:r>
    </w:p>
    <w:p>
      <w:pPr>
        <w:pStyle w:val="Nagwek2"/>
        <w:numPr>
          <w:ilvl w:val="2"/>
          <w:numId w:val="4"/>
        </w:numPr>
        <w:rPr/>
      </w:pPr>
      <w:bookmarkStart w:id="19" w:name="__RefHeading___Toc9941_931842663"/>
      <w:bookmarkEnd w:id="19"/>
      <w:r>
        <w:rPr/>
        <w:t xml:space="preserve"> </w:t>
      </w:r>
      <w:r>
        <w:rPr/>
        <w:t>UKŁAD KOMUNIKACYJNY</w:t>
      </w:r>
    </w:p>
    <w:p>
      <w:pPr>
        <w:pStyle w:val="Normal1"/>
        <w:spacing w:lineRule="auto" w:line="276" w:before="0" w:after="140"/>
        <w:ind w:left="737" w:hanging="0"/>
        <w:jc w:val="both"/>
        <w:rPr/>
      </w:pPr>
      <w:r>
        <w:rPr>
          <w:sz w:val="20"/>
          <w:szCs w:val="20"/>
        </w:rPr>
        <w:t xml:space="preserve">Obsługa komunikacyjna terenu odbywa się od strony ul. Dubois, na której zlokalizowany jest główny wjazd oraz wejście na teren szkoły. Projektowane zagospodarowanie nie przewiduje dodatkowych wjazdów ani wejść z innych stron. Na terenie opracowania nie przewiduje się lokalizacji miejsc postojowych. </w:t>
      </w:r>
    </w:p>
    <w:p>
      <w:pPr>
        <w:pStyle w:val="Nagwek3"/>
        <w:numPr>
          <w:ilvl w:val="2"/>
          <w:numId w:val="4"/>
        </w:numPr>
        <w:rPr>
          <w:sz w:val="24"/>
          <w:szCs w:val="24"/>
        </w:rPr>
      </w:pPr>
      <w:bookmarkStart w:id="20" w:name="__RefHeading___Toc3147_4050815349"/>
      <w:bookmarkStart w:id="21" w:name="_gmp6yfejd2r4"/>
      <w:bookmarkEnd w:id="20"/>
      <w:bookmarkEnd w:id="21"/>
      <w:r>
        <w:rPr/>
        <w:t xml:space="preserve">UKSZTAŁTOWANIE TERENU I ZIELENI – PROJEKT ZIELENI 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Wykonać nasadzenia zgodnie z planem nasadzeń i opisami części graficznej. Inwentaryzacja dendrologiczna z planem gospodarki zielenią według załączonego opracowania. W miejscu w którym zostanie rozebrana nawierzchnia asfaltowa, po wykorytowaniu terenu, na obszarze niezagospodarowanym tymczasowo do realizacji etapu II należy: oczyścić teren, ułożyć warstwę ziemi urodzajnej o grubości minimum 10 cm, a następnie wykonać obsianie trawą.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Opracowanie zgodnie z branżą zieleni.</w:t>
      </w:r>
    </w:p>
    <w:p>
      <w:pPr>
        <w:pStyle w:val="Nagwek2"/>
        <w:numPr>
          <w:ilvl w:val="2"/>
          <w:numId w:val="4"/>
        </w:numPr>
        <w:rPr/>
      </w:pPr>
      <w:bookmarkStart w:id="22" w:name="__RefHeading___Toc9939_931842663"/>
      <w:bookmarkEnd w:id="22"/>
      <w:r>
        <w:rPr/>
        <w:t xml:space="preserve"> </w:t>
      </w:r>
      <w:r>
        <w:rPr/>
        <w:t>ROBOTY ZIEMNE</w:t>
      </w:r>
    </w:p>
    <w:p>
      <w:pPr>
        <w:pStyle w:val="Normal"/>
        <w:spacing w:lineRule="auto" w:line="276"/>
        <w:ind w:left="794" w:hanging="340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Roboty ziemne prowadzić zgodnie z normą PN-S-02205:1998. Wykopy powinny być wykonywane w maksymalnym stopniu przy użyciu sprzętu mechanicznego. Ziemię urodzajną (humus) należy zdjąć na odkład i wykorzystać do humusowania terenów zielonych. </w:t>
      </w:r>
    </w:p>
    <w:p>
      <w:pPr>
        <w:pStyle w:val="Normal1"/>
        <w:widowControl w:val="false"/>
        <w:spacing w:lineRule="auto" w:line="276" w:before="113" w:after="113"/>
        <w:ind w:left="737" w:hanging="0"/>
        <w:rPr>
          <w:sz w:val="20"/>
          <w:szCs w:val="20"/>
        </w:rPr>
      </w:pPr>
      <w:r>
        <w:rPr>
          <w:sz w:val="20"/>
          <w:szCs w:val="20"/>
        </w:rPr>
        <w:tab/>
        <w:t>Ręczne odspajanie należy praktykować w przypadku:</w:t>
      </w:r>
    </w:p>
    <w:p>
      <w:pPr>
        <w:pStyle w:val="Normal1"/>
        <w:numPr>
          <w:ilvl w:val="0"/>
          <w:numId w:val="6"/>
        </w:numPr>
        <w:spacing w:lineRule="auto" w:line="276"/>
        <w:ind w:left="1440" w:hanging="360"/>
        <w:jc w:val="both"/>
        <w:rPr>
          <w:sz w:val="20"/>
          <w:szCs w:val="20"/>
          <w:u w:val="none"/>
        </w:rPr>
      </w:pPr>
      <w:r>
        <w:rPr>
          <w:sz w:val="20"/>
          <w:szCs w:val="20"/>
        </w:rPr>
        <w:t>W strefie dna wykopu, jeżeli użycie sprzętu mogłoby pogorszyć warunki gruntowe;</w:t>
      </w:r>
    </w:p>
    <w:p>
      <w:pPr>
        <w:pStyle w:val="Normal1"/>
        <w:numPr>
          <w:ilvl w:val="0"/>
          <w:numId w:val="6"/>
        </w:numPr>
        <w:spacing w:lineRule="auto" w:line="276"/>
        <w:ind w:left="1440" w:hanging="360"/>
        <w:jc w:val="both"/>
        <w:rPr>
          <w:sz w:val="20"/>
          <w:szCs w:val="20"/>
          <w:u w:val="none"/>
        </w:rPr>
      </w:pPr>
      <w:r>
        <w:rPr>
          <w:sz w:val="20"/>
          <w:szCs w:val="20"/>
        </w:rPr>
        <w:t>Jeśli użycie sprzętu uniemożliwia uzyskanie wymaganej dokładności wykonania.</w:t>
      </w:r>
    </w:p>
    <w:p>
      <w:pPr>
        <w:pStyle w:val="Normal1"/>
        <w:spacing w:lineRule="auto" w:line="276"/>
        <w:ind w:left="1534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37" w:right="0" w:hanging="340"/>
        <w:jc w:val="both"/>
        <w:rPr/>
      </w:pPr>
      <w:r>
        <w:rPr>
          <w:sz w:val="20"/>
          <w:szCs w:val="20"/>
          <w:highlight w:val="white"/>
        </w:rPr>
        <w:tab/>
      </w:r>
      <w:r>
        <w:rPr>
          <w:sz w:val="20"/>
          <w:szCs w:val="20"/>
        </w:rPr>
        <w:t>Nie należy dopuścić do nawodnienia wykopów. P</w:t>
      </w:r>
      <w:r>
        <w:rPr>
          <w:sz w:val="20"/>
          <w:szCs w:val="20"/>
          <w:highlight w:val="white"/>
        </w:rPr>
        <w:t>owierzchnie skarp w gruntach podatnych na rozmywanie należy zabezpieczać. Wykop w ostatniej fazie należy wykonywać w taki sposób, by nie pogorszyć stanu gruntów występujących w dnie wykopu. W przypadku, gdy natychmiastowe zabudowanie wykopu jest niemożliwe zaleca się wykonanie wykopu do głębokości o min. 10 cm wyższej niż projektowana rzędna dla wykopów wykonywanych ręcznie, a 10 ÷ 30 cm (w zależności od rodzaju gruntu) dla wykopów wykonywanych mechanicznie. Pogłębienie wykopu należy wykonać tuż przed rozpoczęciem układania warstw konstrukcyjnych. W przypadku, gdy w wykonywanym wykopie, na głębokości posadowienia, znajduje się grunt o nośności mniejszej od przewidzianej w projekcie lub grunt silnie nawodniony, roboty ziemne należy przerwać do czasu ustalenia sposobu postępowania (projektanci, nadzór geotechniczny).</w:t>
      </w:r>
    </w:p>
    <w:p>
      <w:pPr>
        <w:pStyle w:val="Normal1"/>
        <w:spacing w:lineRule="auto" w:line="276"/>
        <w:ind w:left="794" w:hanging="340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37" w:right="0" w:hanging="340"/>
        <w:jc w:val="both"/>
        <w:rPr>
          <w:b w:val="false"/>
          <w:bCs w:val="false"/>
        </w:rPr>
      </w:pPr>
      <w:r>
        <w:rPr>
          <w:b w:val="false"/>
          <w:bCs w:val="false"/>
          <w:i/>
          <w:iCs/>
          <w:sz w:val="20"/>
          <w:szCs w:val="20"/>
          <w:highlight w:val="white"/>
        </w:rPr>
        <w:tab/>
        <w:t>UWAGA: Realizacja robót ziemnych musi być prowadzona w ścisłej zgodności z wytycznymi zawartymi w opracowaniu pn. „Opinia geotechniczna dla ustalenia geotechnicznych warunków posadowienia”, sporządzonym</w:t>
      </w:r>
      <w:r>
        <w:rPr>
          <w:b w:val="false"/>
          <w:bCs w:val="false"/>
          <w:sz w:val="20"/>
          <w:szCs w:val="20"/>
          <w:highlight w:val="white"/>
        </w:rPr>
        <w:t xml:space="preserve"> </w:t>
      </w:r>
      <w:r>
        <w:rPr>
          <w:b w:val="false"/>
          <w:bCs w:val="false"/>
          <w:i/>
          <w:iCs/>
          <w:sz w:val="20"/>
          <w:szCs w:val="20"/>
          <w:highlight w:val="white"/>
        </w:rPr>
        <w:t>na potrzeby realizacji inwestycji</w:t>
      </w:r>
      <w:r>
        <w:rPr>
          <w:b w:val="false"/>
          <w:bCs w:val="false"/>
          <w:sz w:val="20"/>
          <w:szCs w:val="20"/>
          <w:highlight w:val="white"/>
        </w:rPr>
        <w:t xml:space="preserve"> </w:t>
      </w:r>
      <w:r>
        <w:rPr>
          <w:b w:val="false"/>
          <w:bCs w:val="false"/>
          <w:i/>
          <w:iCs/>
          <w:sz w:val="20"/>
          <w:szCs w:val="20"/>
          <w:highlight w:val="white"/>
        </w:rPr>
        <w:t xml:space="preserve">. Zastosowanie się do wskazanych zaleceń jest obligatoryjne i stanowi bezwzględny wymóg realizacyjny. </w:t>
      </w:r>
    </w:p>
    <w:p>
      <w:pPr>
        <w:pStyle w:val="Normal1"/>
        <w:spacing w:lineRule="auto" w:line="276"/>
        <w:ind w:left="794" w:hanging="340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</w:p>
    <w:p>
      <w:pPr>
        <w:pStyle w:val="Nagwek2"/>
        <w:numPr>
          <w:ilvl w:val="2"/>
          <w:numId w:val="4"/>
        </w:numPr>
        <w:rPr/>
      </w:pPr>
      <w:bookmarkStart w:id="23" w:name="__RefHeading___Toc9937_931842663"/>
      <w:bookmarkEnd w:id="23"/>
      <w:r>
        <w:rPr/>
        <w:t xml:space="preserve"> </w:t>
      </w:r>
      <w:r>
        <w:rPr/>
        <w:t>KONTROLA PODŁOŻA GRUNTOWEGO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  <w:highlight w:val="white"/>
        </w:rPr>
        <w:t>Po wykonaniu wykopu i korytowania pod nawierzchnie do rzędnych projektowych należy przeprowadzić odbiór geotechniczny wykopu. Odbiór wykonanego wykopu jest  elementem oceny geotechnicznych warunków posadowienia. Pozwala on w sposób bezpośredni na całym obszarze określić występujące grunty, ich rodzaj i stan oraz położenie warstw w poziomie posadowienia. W ramach odbioru wykopu, w przypadku stwierdzenia niekorzystnych warunków gruntowych  należy ocenić konieczność  korekty poziomu posadowienia, wymiany lub poprawienia właściwości gruntów. Kontrolę musi wykonywać osoba z odpowiednimi uprawnieniami. Badania kontrolne powinny być udokumentowane w raporcie geotechnicznym. Termin wykonania kontroli gruntów w poziomie posadowienia oraz wyniki kontroli powinny być odnotowane w dzienniku budowy. Wykorytowany i zagęszczony grunt rodzimy lub nasypowy pod ścieżki piesze i nawierzchnie doprowadzić do grupy nośności G2.</w:t>
      </w:r>
    </w:p>
    <w:p>
      <w:pPr>
        <w:pStyle w:val="Normal1"/>
        <w:spacing w:lineRule="auto" w:line="276" w:before="113" w:after="113"/>
        <w:ind w:left="737" w:hanging="0"/>
        <w:rPr>
          <w:i/>
          <w:i/>
          <w:sz w:val="20"/>
          <w:szCs w:val="20"/>
        </w:rPr>
      </w:pPr>
      <w:r>
        <w:rPr>
          <w:i/>
          <w:sz w:val="20"/>
          <w:szCs w:val="20"/>
          <w:highlight w:val="white"/>
        </w:rPr>
        <w:t>UWAGA: Wykopy  winien odebrać kierownik budowy i w przypadku stwierdzenia rozbieżności z dokumentacją projektową winien skontaktować się z autorem opracowania.</w:t>
      </w:r>
    </w:p>
    <w:p>
      <w:pPr>
        <w:pStyle w:val="Nagwek2"/>
        <w:numPr>
          <w:ilvl w:val="2"/>
          <w:numId w:val="4"/>
        </w:numPr>
        <w:rPr/>
      </w:pPr>
      <w:bookmarkStart w:id="24" w:name="__RefHeading___Toc9935_931842663"/>
      <w:bookmarkEnd w:id="24"/>
      <w:r>
        <w:rPr/>
        <w:t xml:space="preserve"> </w:t>
      </w:r>
      <w:r>
        <w:rPr/>
        <w:t>UKSZTAŁTOWANIE WYSOKOŚCIOWE</w:t>
      </w:r>
    </w:p>
    <w:p>
      <w:pPr>
        <w:pStyle w:val="Normal1"/>
        <w:spacing w:lineRule="auto" w:line="276"/>
        <w:ind w:left="794" w:hanging="340"/>
        <w:jc w:val="both"/>
        <w:rPr>
          <w:sz w:val="20"/>
          <w:szCs w:val="20"/>
        </w:rPr>
      </w:pPr>
      <w:r>
        <w:rPr>
          <w:sz w:val="20"/>
          <w:szCs w:val="20"/>
          <w:highlight w:val="white"/>
        </w:rPr>
        <w:tab/>
        <w:t>Drogi piesze należy wykonać  ze spadkami podłużnymi i poprzecznymi, umożliwiającymi skuteczne odprowadzanie wód opadowych na powierzchnię biologicznie czynną. W przypadku wykazania braku możliwości wykonania spadków o opisanych wartościach należy dokonać dokładnej inwentaryzacji wysokościowej i dalsze działania uzgodnić z Projektantem. Zalecane pochylenie poprzeczne wynosi 1-2,5%. Spadek podłużny nie może przekraczać 6%. Teren wokół dróg pieszych doprowadzić do naturalnych spadków.</w:t>
      </w:r>
    </w:p>
    <w:p>
      <w:pPr>
        <w:pStyle w:val="Nagwek2"/>
        <w:numPr>
          <w:ilvl w:val="2"/>
          <w:numId w:val="4"/>
        </w:numPr>
        <w:rPr/>
      </w:pPr>
      <w:bookmarkStart w:id="25" w:name="__RefHeading___Toc9933_931842663"/>
      <w:bookmarkEnd w:id="25"/>
      <w:r>
        <w:rPr/>
        <w:t xml:space="preserve"> </w:t>
      </w:r>
      <w:r>
        <w:rPr/>
        <w:t xml:space="preserve">KORYTOWANIE I PRZYGOTOWANIE PODŁOŻA POD CIĄGI PIESZE I POSADOWIENIA MAŁEJ ARCHITEKTURY </w:t>
      </w:r>
    </w:p>
    <w:p>
      <w:pPr>
        <w:pStyle w:val="Normal1"/>
        <w:spacing w:lineRule="auto" w:line="276" w:before="0" w:after="140"/>
        <w:ind w:left="737" w:hanging="0"/>
        <w:jc w:val="both"/>
        <w:rPr/>
      </w:pPr>
      <w:r>
        <w:rPr>
          <w:sz w:val="20"/>
          <w:szCs w:val="20"/>
          <w:highlight w:val="white"/>
        </w:rPr>
        <w:t>Należy założyć konieczność korytowania gruntu na głębokość 50 cm, z uwagi na występowanie gruntów nasypowych. W przypadku wystąpienia dużych skupisk gruzu i zanieczyszczeń w gruncie należy miejscowo wykonać wymianę gruntu. W wyniku prowadzenia wykopu i korygowania powstanie urobek  należy wywieźć i zutylizować.</w:t>
      </w:r>
    </w:p>
    <w:p>
      <w:pPr>
        <w:pStyle w:val="Nagwek2"/>
        <w:numPr>
          <w:ilvl w:val="2"/>
          <w:numId w:val="4"/>
        </w:numPr>
        <w:rPr/>
      </w:pPr>
      <w:bookmarkStart w:id="26" w:name="__RefHeading___Toc9931_931842663"/>
      <w:bookmarkEnd w:id="26"/>
      <w:r>
        <w:rPr/>
        <w:t>NAWIERZCHNIE</w:t>
      </w:r>
    </w:p>
    <w:p>
      <w:pPr>
        <w:pStyle w:val="Nagwek2"/>
        <w:numPr>
          <w:ilvl w:val="3"/>
          <w:numId w:val="4"/>
        </w:numPr>
        <w:rPr/>
      </w:pPr>
      <w:bookmarkStart w:id="27" w:name="__RefHeading___Toc4495_3759882591"/>
      <w:bookmarkEnd w:id="27"/>
      <w:r>
        <w:rPr>
          <w:b/>
          <w:bCs/>
          <w:sz w:val="20"/>
          <w:szCs w:val="20"/>
        </w:rPr>
        <w:t xml:space="preserve">(N1) </w:t>
      </w:r>
      <w:r>
        <w:rPr>
          <w:b/>
          <w:bCs/>
          <w:color w:val="000000"/>
          <w:sz w:val="20"/>
          <w:szCs w:val="20"/>
        </w:rPr>
        <w:t>NAWIERZCHNIA UTWARDZONA – KOSTKA BETONOWA</w:t>
      </w:r>
    </w:p>
    <w:p>
      <w:pPr>
        <w:pStyle w:val="Normal"/>
        <w:rPr/>
      </w:pPr>
      <w:r>
        <w:rPr>
          <w:sz w:val="20"/>
          <w:szCs w:val="20"/>
        </w:rPr>
        <w:tab/>
        <w:t>Nawierzchnie N1 należy wykonać z następujących warstw:</w:t>
      </w:r>
    </w:p>
    <w:p>
      <w:pPr>
        <w:pStyle w:val="Normal1"/>
        <w:numPr>
          <w:ilvl w:val="0"/>
          <w:numId w:val="2"/>
        </w:numPr>
        <w:spacing w:lineRule="auto" w:line="276"/>
        <w:ind w:left="1440" w:hanging="360"/>
        <w:jc w:val="both"/>
        <w:rPr/>
      </w:pPr>
      <w:r>
        <w:rPr>
          <w:sz w:val="20"/>
          <w:szCs w:val="20"/>
        </w:rPr>
        <w:t>8 cm Kostka betonowa gr. 8 cm</w:t>
      </w:r>
    </w:p>
    <w:p>
      <w:pPr>
        <w:pStyle w:val="Normal1"/>
        <w:numPr>
          <w:ilvl w:val="0"/>
          <w:numId w:val="2"/>
        </w:numPr>
        <w:spacing w:lineRule="auto" w:line="276"/>
        <w:ind w:left="1440" w:hanging="360"/>
        <w:jc w:val="both"/>
        <w:rPr/>
      </w:pPr>
      <w:r>
        <w:rPr>
          <w:sz w:val="20"/>
          <w:szCs w:val="20"/>
        </w:rPr>
        <w:t>3 cm Podsypka cem-piaskowa 1:4</w:t>
      </w:r>
    </w:p>
    <w:p>
      <w:pPr>
        <w:pStyle w:val="Normal1"/>
        <w:numPr>
          <w:ilvl w:val="0"/>
          <w:numId w:val="2"/>
        </w:numPr>
        <w:spacing w:lineRule="auto" w:line="276"/>
        <w:ind w:left="1440" w:hanging="360"/>
        <w:jc w:val="both"/>
        <w:rPr/>
      </w:pPr>
      <w:r>
        <w:rPr>
          <w:sz w:val="20"/>
          <w:szCs w:val="20"/>
        </w:rPr>
        <w:t>15 cm Podbudowa z kruszywa łamanego stabilizowanego mechanicznie (Φ0-31,5mm)</w:t>
      </w:r>
    </w:p>
    <w:p>
      <w:pPr>
        <w:pStyle w:val="Normal1"/>
        <w:numPr>
          <w:ilvl w:val="0"/>
          <w:numId w:val="2"/>
        </w:numPr>
        <w:spacing w:lineRule="auto" w:line="276"/>
        <w:ind w:left="1440" w:hanging="360"/>
        <w:jc w:val="both"/>
        <w:rPr/>
      </w:pPr>
      <w:r>
        <w:rPr>
          <w:sz w:val="20"/>
          <w:szCs w:val="20"/>
        </w:rPr>
        <w:t>śr. ok. 15cm Stabilizacja C1,5/2,0</w:t>
      </w:r>
    </w:p>
    <w:p>
      <w:pPr>
        <w:pStyle w:val="Normal"/>
        <w:numPr>
          <w:ilvl w:val="1"/>
          <w:numId w:val="2"/>
        </w:numPr>
        <w:rPr>
          <w:sz w:val="20"/>
          <w:szCs w:val="20"/>
        </w:rPr>
      </w:pPr>
      <w:r>
        <w:rPr>
          <w:caps w:val="false"/>
          <w:smallCaps w:val="false"/>
          <w:color w:val="000000"/>
          <w:spacing w:val="0"/>
          <w:sz w:val="20"/>
          <w:szCs w:val="20"/>
        </w:rPr>
        <w:t>pod</w:t>
      </w:r>
      <w:r>
        <w:rPr>
          <w:color w:val="000000"/>
          <w:sz w:val="20"/>
          <w:szCs w:val="20"/>
        </w:rPr>
        <w:t>łoże gruntowe doprowadzone do grupy nośności co najmniej G2</w:t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1191" w:righ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spacing w:lineRule="auto" w:line="276"/>
        <w:ind w:left="794" w:hanging="340"/>
        <w:jc w:val="both"/>
        <w:rPr>
          <w:sz w:val="20"/>
          <w:szCs w:val="20"/>
        </w:rPr>
      </w:pPr>
      <w:r>
        <w:rPr>
          <w:sz w:val="20"/>
          <w:szCs w:val="20"/>
        </w:rPr>
        <w:tab/>
        <w:t>Nawierzchnię utwardzoną zaprojektowano z kostki betonowej o wymiarach 20x10 cm gr. 8cm w kolorze szarym.  Kostka znajduje się wokół boisk według rysunku szczegółowego zagospodarowania terenu. Kolor warstwy fakturowej jasnoszary. Naturalne barwniki zostają rozprowadzone i wymieszane ze sobą w wierzchniej warstwie produktu.  Powierzchnia musi być barwiona lub posiadać warstwę fakturową np. piaskowana lub młotkowana. Wybór produktu i kolorystyka musi być potwierdzona przez projektanta w ramach nadzoru autorskiego. Warstwy podbudowy wg detali i opisów części graficznej.</w:t>
      </w:r>
    </w:p>
    <w:p>
      <w:pPr>
        <w:pStyle w:val="Normal1"/>
        <w:spacing w:lineRule="auto" w:line="276"/>
        <w:ind w:left="794" w:hanging="34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widowControl/>
        <w:suppressAutoHyphens w:val="true"/>
        <w:bidi w:val="0"/>
        <w:spacing w:before="0" w:after="0"/>
        <w:ind w:left="737" w:right="0" w:hanging="0"/>
        <w:jc w:val="left"/>
        <w:rPr>
          <w:b w:val="false"/>
          <w:bCs w:val="false"/>
        </w:rPr>
      </w:pPr>
      <w:r>
        <w:rPr>
          <w:b w:val="false"/>
          <w:bCs w:val="false"/>
          <w:i/>
          <w:sz w:val="20"/>
          <w:szCs w:val="20"/>
        </w:rPr>
        <w:t>UWAGA: Należy stosować rozwiązania systemowe zgodnie z wytycznymi producenta. Kolor nawierzchni należy bezwzględnie ustalić z projektantem w ramach nadzoru autorskiego na podstawie próbnika lub katalogu nawierzchni wybranego producenta, który dostarczy wykonawca.</w:t>
      </w:r>
    </w:p>
    <w:p>
      <w:pPr>
        <w:pStyle w:val="Normal1"/>
        <w:widowControl/>
        <w:suppressAutoHyphens w:val="true"/>
        <w:bidi w:val="0"/>
        <w:spacing w:before="0" w:after="0"/>
        <w:ind w:left="737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spacing w:lineRule="auto" w:line="276" w:before="0" w:after="140"/>
        <w:ind w:left="737" w:hanging="0"/>
        <w:rPr>
          <w:sz w:val="20"/>
          <w:szCs w:val="20"/>
        </w:rPr>
      </w:pPr>
      <w:r>
        <w:rPr>
          <w:sz w:val="20"/>
          <w:szCs w:val="20"/>
        </w:rPr>
        <w:t xml:space="preserve">Cechy kostki betonowej: 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zminimalizowana nasiąkliwość,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łatwość utrzymania i czyszczenia,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zwiększona odporność na środki zapobiegające oblodzeniu,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spowolnienie porostu mikroorganizmów,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zwiększona trwałość produktów,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spowolniony proces starzenia się produktu,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zabezpieczenie przed promieniowaniem UV,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szybsze odparowanie wilgoci z powierzchni,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sz w:val="20"/>
          <w:szCs w:val="20"/>
          <w:u w:val="none"/>
        </w:rPr>
      </w:pPr>
      <w:r>
        <w:rPr>
          <w:sz w:val="20"/>
          <w:szCs w:val="20"/>
        </w:rPr>
        <w:t>zwiększona odporność na przebarwienia, plamy,</w:t>
      </w:r>
    </w:p>
    <w:p>
      <w:pPr>
        <w:pStyle w:val="Normal1"/>
        <w:numPr>
          <w:ilvl w:val="0"/>
          <w:numId w:val="5"/>
        </w:numPr>
        <w:spacing w:lineRule="auto" w:line="276"/>
        <w:ind w:left="1440" w:hanging="360"/>
        <w:rPr>
          <w:b w:val="false"/>
          <w:bCs w:val="false"/>
          <w:i w:val="false"/>
          <w:i w:val="false"/>
          <w:iCs w:val="false"/>
        </w:rPr>
      </w:pPr>
      <w:r>
        <w:rPr>
          <w:b w:val="false"/>
          <w:bCs w:val="false"/>
          <w:i w:val="false"/>
          <w:iCs w:val="false"/>
          <w:sz w:val="20"/>
          <w:szCs w:val="20"/>
        </w:rPr>
        <w:t>zabezpieczenie przed przyleganiem obcych substancji.</w:t>
      </w:r>
    </w:p>
    <w:p>
      <w:pPr>
        <w:pStyle w:val="Normal1"/>
        <w:numPr>
          <w:ilvl w:val="0"/>
          <w:numId w:val="0"/>
        </w:numPr>
        <w:spacing w:lineRule="auto" w:line="276"/>
        <w:ind w:left="1440" w:hanging="0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</w:r>
    </w:p>
    <w:p>
      <w:pPr>
        <w:pStyle w:val="Nagwek2"/>
        <w:rPr>
          <w:sz w:val="20"/>
          <w:szCs w:val="20"/>
          <w:u w:val="none"/>
        </w:rPr>
      </w:pPr>
      <w:r>
        <w:rPr/>
      </w:r>
    </w:p>
    <w:p>
      <w:pPr>
        <w:pStyle w:val="Nagwek2"/>
        <w:numPr>
          <w:ilvl w:val="3"/>
          <w:numId w:val="4"/>
        </w:numPr>
        <w:rPr/>
      </w:pPr>
      <w:bookmarkStart w:id="28" w:name="__RefHeading___Toc4497_3759882591"/>
      <w:bookmarkEnd w:id="28"/>
      <w:r>
        <w:rPr>
          <w:b/>
          <w:bCs/>
          <w:sz w:val="20"/>
          <w:szCs w:val="20"/>
        </w:rPr>
        <w:t xml:space="preserve">(N3/N4) NAWIERZCHNIA POLIURETANOWA NATRYSKOWA </w:t>
      </w:r>
    </w:p>
    <w:p>
      <w:pPr>
        <w:pStyle w:val="Normal"/>
        <w:spacing w:lineRule="auto" w:line="276"/>
        <w:ind w:hanging="0"/>
        <w:rPr/>
      </w:pPr>
      <w:r>
        <w:rPr/>
        <w:tab/>
      </w:r>
      <w:r>
        <w:rPr>
          <w:sz w:val="20"/>
          <w:szCs w:val="20"/>
        </w:rPr>
        <w:t>Nawierzchnie N3/N4 należy wykonać z następujących warstw:</w:t>
      </w:r>
      <w:r>
        <w:rPr/>
        <w:t xml:space="preserve"> </w:t>
      </w:r>
    </w:p>
    <w:p>
      <w:pPr>
        <w:pStyle w:val="Podpunktywtrescitekstu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sz w:val="20"/>
          <w:szCs w:val="20"/>
        </w:rPr>
        <w:t xml:space="preserve">0,2 cm Warstwa użytkowa - </w:t>
      </w:r>
      <w:r>
        <w:rPr>
          <w:color w:val="000000"/>
          <w:sz w:val="20"/>
          <w:szCs w:val="20"/>
        </w:rPr>
        <w:t>system poliuretanowy z granulatem EPDM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1,3 cm Warstwa nośna – mieszanina granulatu gumowego i lepiszcza poliuretanowego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3,5 cm Warstwa stabilizująca ET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5 cm Miał kamienny 0-4mm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15 cm Podbudowa z mieszanki kruszywa niewiązanego C90/3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10 cm podsypka z piasku średniego, E2,min=80 MPa  (do poziomu posadowienia warstwy konstrukcyjnej podbudowy)</w:t>
      </w:r>
    </w:p>
    <w:p>
      <w:pPr>
        <w:pStyle w:val="Normal"/>
        <w:numPr>
          <w:ilvl w:val="0"/>
          <w:numId w:val="7"/>
        </w:numPr>
        <w:ind w:left="1894" w:right="0" w:hanging="360"/>
        <w:rPr>
          <w:sz w:val="20"/>
          <w:szCs w:val="20"/>
        </w:rPr>
      </w:pPr>
      <w:r>
        <w:rPr>
          <w:color w:val="000000"/>
          <w:sz w:val="20"/>
          <w:szCs w:val="20"/>
        </w:rPr>
        <w:t>grunt rodzimy lub nasypowy doprowadzaony do grupy nośności min G2 (zalecane G1)</w:t>
      </w:r>
    </w:p>
    <w:p>
      <w:pPr>
        <w:pStyle w:val="Normal"/>
        <w:ind w:left="1894" w:right="0" w:hanging="360"/>
        <w:rPr>
          <w:rFonts w:ascii="Arial" w:hAnsi="Arial"/>
          <w:color w:val="000000"/>
        </w:rPr>
      </w:pPr>
      <w:r>
        <w:rPr>
          <w:color w:val="000000"/>
        </w:rPr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94" w:right="0" w:hanging="0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Nawierzchnię poliuretanową w kolorze pomarańczowym zaprojektowano na boisku wielofunkcyjnym przeznaczonym do gry w siatkówkę oraz koszykówkę. Nawierzchnię poliuretanową w kolorze zielonym przewidziano jako ciągi komunikacji pieszej wokół boiska, a także jako nawierzchnię w obrębie stołu do tenisa stołowego oraz boiska typu </w:t>
      </w:r>
      <w:r>
        <w:rPr>
          <w:rStyle w:val="Wyrnienie"/>
          <w:color w:val="000000"/>
          <w:sz w:val="20"/>
          <w:szCs w:val="20"/>
        </w:rPr>
        <w:t>Panna</w:t>
      </w:r>
      <w:r>
        <w:rPr>
          <w:color w:val="000000"/>
          <w:sz w:val="20"/>
          <w:szCs w:val="20"/>
        </w:rPr>
        <w:t xml:space="preserve">, zaprojektowanego w formie klatki do gry. </w:t>
      </w:r>
      <w:r>
        <w:rPr>
          <w:color w:val="000000"/>
          <w:sz w:val="24"/>
          <w:szCs w:val="20"/>
        </w:rPr>
        <w:t xml:space="preserve"> </w:t>
      </w:r>
      <w:r>
        <w:rPr>
          <w:color w:val="000000"/>
          <w:sz w:val="19"/>
          <w:szCs w:val="20"/>
        </w:rPr>
        <w:t xml:space="preserve">Nawierzchnia otrzymuje się dwuwarstwowo, warstwę pierwszą stanowi mieszanina granulatu gumowego zespojonego lepiszczem, warstwa druga to system natryskowy PU z domieszką granulatu EPDM naniesiony metodą ciśnieniową. </w:t>
      </w:r>
    </w:p>
    <w:p>
      <w:pPr>
        <w:pStyle w:val="Defaul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Default"/>
        <w:rPr>
          <w:color w:val="000000"/>
          <w:sz w:val="24"/>
        </w:rPr>
      </w:pPr>
      <w:r>
        <w:rPr>
          <w:color w:val="000000"/>
          <w:sz w:val="24"/>
        </w:rPr>
        <w:tab/>
      </w:r>
    </w:p>
    <w:p>
      <w:pPr>
        <w:pStyle w:val="Default"/>
        <w:rPr>
          <w:color w:val="000000"/>
          <w:sz w:val="24"/>
        </w:rPr>
      </w:pPr>
      <w:r>
        <w:rPr>
          <w:color w:val="000000"/>
          <w:sz w:val="24"/>
        </w:rPr>
      </w:r>
    </w:p>
    <w:p>
      <w:pPr>
        <w:pStyle w:val="Default"/>
        <w:rPr>
          <w:color w:val="000000"/>
          <w:sz w:val="24"/>
        </w:rPr>
      </w:pPr>
      <w:r>
        <w:rPr>
          <w:color w:val="000000"/>
          <w:sz w:val="24"/>
        </w:rPr>
      </w:r>
    </w:p>
    <w:p>
      <w:pPr>
        <w:pStyle w:val="Default"/>
        <w:rPr>
          <w:color w:val="000000"/>
          <w:sz w:val="24"/>
        </w:rPr>
      </w:pPr>
      <w:r>
        <w:rPr>
          <w:color w:val="000000"/>
          <w:sz w:val="24"/>
        </w:rPr>
      </w:r>
    </w:p>
    <w:p>
      <w:pPr>
        <w:pStyle w:val="Default"/>
        <w:rPr>
          <w:color w:val="000000"/>
          <w:sz w:val="24"/>
        </w:rPr>
      </w:pPr>
      <w:r>
        <w:rPr>
          <w:color w:val="000000"/>
          <w:sz w:val="24"/>
        </w:rPr>
      </w:r>
    </w:p>
    <w:p>
      <w:pPr>
        <w:pStyle w:val="Default"/>
        <w:rPr>
          <w:color w:val="000000"/>
          <w:sz w:val="24"/>
        </w:rPr>
      </w:pPr>
      <w:r>
        <w:rPr>
          <w:color w:val="000000"/>
          <w:sz w:val="24"/>
        </w:rPr>
      </w:r>
    </w:p>
    <w:p>
      <w:pPr>
        <w:pStyle w:val="Default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  <w:t>Podstawowe parametry:</w:t>
      </w:r>
    </w:p>
    <w:p>
      <w:pPr>
        <w:pStyle w:val="Default"/>
        <w:rPr>
          <w:color w:val="000000"/>
        </w:rPr>
      </w:pPr>
      <w:r>
        <w:rPr>
          <w:color w:val="000000"/>
        </w:rPr>
      </w:r>
    </w:p>
    <w:tbl>
      <w:tblPr>
        <w:tblW w:w="8550" w:type="dxa"/>
        <w:jc w:val="left"/>
        <w:tblInd w:w="8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064"/>
        <w:gridCol w:w="4485"/>
      </w:tblGrid>
      <w:tr>
        <w:trPr/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             </w:t>
            </w:r>
            <w:r>
              <w:rPr>
                <w:b w:val="false"/>
                <w:bCs w:val="false"/>
                <w:sz w:val="18"/>
                <w:szCs w:val="18"/>
              </w:rPr>
              <w:t>Twardość:</w:t>
            </w:r>
          </w:p>
        </w:tc>
        <w:tc>
          <w:tcPr>
            <w:tcW w:w="4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 w:val="false"/>
              <w:ind w:left="0" w:right="0" w:hanging="0"/>
              <w:rPr>
                <w:sz w:val="18"/>
                <w:szCs w:val="18"/>
              </w:rPr>
            </w:pPr>
            <w:r>
              <w:rPr>
                <w:rFonts w:ascii="Google Sans;Arial;sans-serif" w:hAnsi="Google Sans;Arial;sans-serif"/>
                <w:b w:val="false"/>
                <w:bCs w:val="false"/>
                <w:i w:val="false"/>
                <w:caps w:val="false"/>
                <w:smallCaps w:val="false"/>
                <w:color w:val="0A0A0A"/>
                <w:spacing w:val="0"/>
                <w:sz w:val="18"/>
                <w:szCs w:val="18"/>
              </w:rPr>
              <w:t>60 (</w:t>
            </w:r>
            <w:r>
              <w:rPr>
                <w:rFonts w:ascii="sans-serif" w:hAnsi="sans-serif"/>
                <w:b w:val="false"/>
                <w:bCs w:val="false"/>
                <w:i w:val="false"/>
                <w:caps w:val="false"/>
                <w:smallCaps w:val="false"/>
                <w:color w:val="202122"/>
                <w:spacing w:val="0"/>
                <w:sz w:val="18"/>
                <w:szCs w:val="18"/>
              </w:rPr>
              <w:t>±</w:t>
            </w:r>
            <w:r>
              <w:rPr>
                <w:rFonts w:ascii="Google Sans;Arial;sans-serif" w:hAnsi="Google Sans;Arial;sans-serif"/>
                <w:b w:val="false"/>
                <w:bCs w:val="false"/>
                <w:i w:val="false"/>
                <w:caps w:val="false"/>
                <w:smallCaps w:val="false"/>
                <w:color w:val="0A0A0A"/>
                <w:spacing w:val="0"/>
                <w:sz w:val="18"/>
                <w:szCs w:val="18"/>
              </w:rPr>
              <w:t xml:space="preserve"> 5) Sh A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before="0" w:after="0"/>
              <w:ind w:left="737" w:right="0" w:hanging="0"/>
              <w:jc w:val="left"/>
              <w:rPr/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Wytrzymałość na rozciąganie: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 ≥ </w:t>
            </w:r>
            <w:r>
              <w:rPr>
                <w:b w:val="false"/>
                <w:bCs w:val="false"/>
                <w:sz w:val="18"/>
                <w:szCs w:val="18"/>
              </w:rPr>
              <w:t>0,8 MPa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/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Wydłużenie przy zerwaniu: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 ≥ </w:t>
            </w:r>
            <w:r>
              <w:rPr>
                <w:b w:val="false"/>
                <w:bCs w:val="false"/>
                <w:sz w:val="18"/>
                <w:szCs w:val="18"/>
              </w:rPr>
              <w:t>70 %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/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Wytrzymałość na rozdzieranie: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≥ </w:t>
            </w:r>
            <w:r>
              <w:rPr>
                <w:b w:val="false"/>
                <w:bCs w:val="false"/>
                <w:sz w:val="18"/>
                <w:szCs w:val="18"/>
              </w:rPr>
              <w:t>110 N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/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Ścieralność: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≤ </w:t>
            </w:r>
            <w:r>
              <w:rPr>
                <w:b w:val="false"/>
                <w:bCs w:val="false"/>
                <w:sz w:val="18"/>
                <w:szCs w:val="18"/>
              </w:rPr>
              <w:t>0,09 mm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/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Przepuszczalność: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≥ </w:t>
            </w:r>
            <w:r>
              <w:rPr>
                <w:b w:val="false"/>
                <w:bCs w:val="false"/>
                <w:sz w:val="18"/>
                <w:szCs w:val="18"/>
              </w:rPr>
              <w:t>0,15 cm/s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>powierzchnia sucha: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≥ </w:t>
            </w:r>
            <w:r>
              <w:rPr>
                <w:b w:val="false"/>
                <w:bCs w:val="false"/>
                <w:sz w:val="18"/>
                <w:szCs w:val="18"/>
              </w:rPr>
              <w:t>0,40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>powierzchnia mokra: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≥ </w:t>
            </w:r>
            <w:r>
              <w:rPr>
                <w:b w:val="false"/>
                <w:bCs w:val="false"/>
                <w:sz w:val="18"/>
                <w:szCs w:val="18"/>
              </w:rPr>
              <w:t>0,35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/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Odporność na uderzenie – pow. odcisku kulki: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>550 mm² ± 50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/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Odporność na działanie zmiennych cykli hydro-termicznych wyrażona zmianą masy: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≤ </w:t>
            </w:r>
            <w:r>
              <w:rPr>
                <w:b w:val="false"/>
                <w:bCs w:val="false"/>
                <w:sz w:val="18"/>
                <w:szCs w:val="18"/>
              </w:rPr>
              <w:t>0,50 %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/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Mrozoodporność oceniona zmianą masy: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≤ </w:t>
            </w:r>
            <w:r>
              <w:rPr>
                <w:b w:val="false"/>
                <w:bCs w:val="false"/>
                <w:sz w:val="18"/>
                <w:szCs w:val="18"/>
              </w:rPr>
              <w:t>0,50 %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/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Odporność na starzenie, stopień skali szarej: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>5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/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Masa powierzchniowa: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>12 kg/m²</w:t>
            </w:r>
          </w:p>
        </w:tc>
      </w:tr>
      <w:tr>
        <w:trPr/>
        <w:tc>
          <w:tcPr>
            <w:tcW w:w="4064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retekstu"/>
              <w:widowControl w:val="false"/>
              <w:numPr>
                <w:ilvl w:val="0"/>
                <w:numId w:val="0"/>
              </w:numPr>
              <w:spacing w:before="0" w:after="140"/>
              <w:ind w:left="0" w:hanging="0"/>
              <w:jc w:val="left"/>
              <w:rPr/>
            </w:pPr>
            <w:r>
              <w:rPr>
                <w:rStyle w:val="Strong"/>
                <w:b w:val="false"/>
                <w:bCs w:val="false"/>
                <w:sz w:val="18"/>
                <w:szCs w:val="18"/>
              </w:rPr>
              <w:t>Zmiana wymiarów w temp. 60°C:</w:t>
            </w:r>
          </w:p>
        </w:tc>
        <w:tc>
          <w:tcPr>
            <w:tcW w:w="4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retekstu"/>
              <w:widowControl w:val="false"/>
              <w:spacing w:before="0" w:after="14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18"/>
                <w:szCs w:val="18"/>
              </w:rPr>
              <w:t xml:space="preserve">≤ </w:t>
            </w:r>
            <w:r>
              <w:rPr>
                <w:b w:val="false"/>
                <w:bCs w:val="false"/>
                <w:sz w:val="18"/>
                <w:szCs w:val="18"/>
              </w:rPr>
              <w:t>0,02 %</w:t>
            </w:r>
          </w:p>
        </w:tc>
      </w:tr>
    </w:tbl>
    <w:p>
      <w:pPr>
        <w:pStyle w:val="Default"/>
        <w:rPr>
          <w:color w:val="000000"/>
          <w:sz w:val="24"/>
        </w:rPr>
      </w:pPr>
      <w:r>
        <w:rPr>
          <w:color w:val="000000"/>
          <w:sz w:val="24"/>
        </w:rPr>
      </w:r>
    </w:p>
    <w:p>
      <w:pPr>
        <w:pStyle w:val="Default"/>
        <w:rPr>
          <w:color w:val="000000"/>
          <w:sz w:val="24"/>
        </w:rPr>
      </w:pPr>
      <w:r>
        <w:rPr>
          <w:color w:val="000000"/>
          <w:sz w:val="24"/>
        </w:rPr>
      </w:r>
    </w:p>
    <w:p>
      <w:pPr>
        <w:pStyle w:val="Normal"/>
        <w:widowControl/>
        <w:suppressAutoHyphens w:val="true"/>
        <w:bidi w:val="0"/>
        <w:spacing w:lineRule="auto" w:line="276" w:before="0" w:after="0"/>
        <w:ind w:right="0" w:hanging="0"/>
        <w:jc w:val="both"/>
        <w:rPr>
          <w:sz w:val="20"/>
          <w:szCs w:val="20"/>
        </w:rPr>
      </w:pPr>
      <w:r>
        <w:rPr>
          <w:rFonts w:eastAsia="Microsoft YaHei" w:cs="Arial"/>
          <w:b/>
          <w:bCs/>
          <w:color w:val="000000"/>
          <w:kern w:val="2"/>
          <w:sz w:val="24"/>
          <w:shd w:fill="FFFFFF" w:val="clear"/>
          <w:lang w:val="pl-PL" w:eastAsia="zh-CN" w:bidi="hi-IN"/>
        </w:rPr>
        <w:tab/>
      </w:r>
      <w:r>
        <w:rPr>
          <w:rFonts w:eastAsia="Microsoft YaHei" w:cs="Arial"/>
          <w:b/>
          <w:bCs/>
          <w:color w:val="000000"/>
          <w:kern w:val="2"/>
          <w:sz w:val="20"/>
          <w:szCs w:val="20"/>
          <w:shd w:fill="FFFFFF" w:val="clear"/>
          <w:lang w:val="pl-PL" w:eastAsia="zh-CN" w:bidi="hi-IN"/>
        </w:rPr>
        <w:t>WYKONANIE NAWIERZCHNI</w:t>
      </w:r>
    </w:p>
    <w:p>
      <w:pPr>
        <w:pStyle w:val="Tretekstu"/>
        <w:widowControl w:val="false"/>
        <w:suppressAutoHyphens w:val="true"/>
        <w:bidi w:val="0"/>
        <w:spacing w:lineRule="auto" w:line="276" w:before="0" w:after="140"/>
        <w:ind w:left="737" w:right="0" w:hanging="0"/>
        <w:jc w:val="both"/>
        <w:rPr>
          <w:rFonts w:eastAsia="Microsoft YaHei" w:cs="Arial"/>
          <w:color w:val="000000"/>
          <w:kern w:val="2"/>
          <w:sz w:val="20"/>
          <w:szCs w:val="20"/>
          <w:shd w:fill="FFFFFF" w:val="clear"/>
          <w:lang w:val="pl-PL" w:eastAsia="zh-CN" w:bidi="hi-IN"/>
        </w:rPr>
      </w:pPr>
      <w:r>
        <w:rPr>
          <w:rFonts w:eastAsia="Microsoft YaHei" w:cs="Arial"/>
          <w:color w:val="000000"/>
          <w:kern w:val="2"/>
          <w:sz w:val="20"/>
          <w:szCs w:val="20"/>
          <w:shd w:fill="FFFFFF" w:val="clear"/>
          <w:lang w:val="pl-PL" w:eastAsia="zh-CN" w:bidi="hi-IN"/>
        </w:rPr>
        <w:t>Warunki przygotowywania poszczególnych wyrobów do aplikacji oraz wytyczne ich stosowania powinna określać instrukcja wykonywania nawierzchni sportowych opracowana przez Producenta. Nawierzchnie sportowe powinny być wykonywane z uwzględnieniem  wymagań polskich przepisów budowlanych oraz właściwości techniczno-użytkowych wyrobów. Podczas wykonywania prac należy przestrzegać warunków bezpiecznego stosowania wyrobów podanych przez Producenta w kartach charakterystyki wyrobów, opracowanych zgodnie z rozporządzeniem Ministra Zdrowia z dnia 3 lipca 2002 r. w sprawie karty charakterystyki substancji niebezpiecznej lub preparatu niebezpiecznego.</w:t>
      </w:r>
    </w:p>
    <w:p>
      <w:pPr>
        <w:pStyle w:val="Tretekstu"/>
        <w:widowControl/>
        <w:suppressAutoHyphens w:val="true"/>
        <w:bidi w:val="0"/>
        <w:spacing w:lineRule="auto" w:line="276" w:before="0" w:after="140"/>
        <w:ind w:left="680" w:right="0" w:hanging="0"/>
        <w:jc w:val="left"/>
        <w:rPr>
          <w:sz w:val="20"/>
          <w:szCs w:val="20"/>
        </w:rPr>
      </w:pPr>
      <w:r>
        <w:rPr>
          <w:rFonts w:cs="Arial"/>
          <w:b w:val="false"/>
          <w:bCs w:val="false"/>
          <w:i/>
          <w:iCs/>
          <w:color w:val="000000"/>
          <w:sz w:val="20"/>
          <w:szCs w:val="20"/>
          <w:highlight w:val="white"/>
        </w:rPr>
        <w:t xml:space="preserve">UWAGI: </w:t>
      </w:r>
      <w:r>
        <w:rPr>
          <w:b w:val="false"/>
          <w:bCs w:val="false"/>
          <w:i/>
          <w:iCs/>
          <w:color w:val="000000"/>
          <w:sz w:val="20"/>
          <w:szCs w:val="20"/>
          <w:shd w:fill="FFFFFF" w:val="clear"/>
        </w:rPr>
        <w:t>Wszystkie p</w:t>
      </w:r>
      <w:r>
        <w:rPr>
          <w:rFonts w:cs="Arial"/>
          <w:b w:val="false"/>
          <w:bCs w:val="false"/>
          <w:i/>
          <w:iCs/>
          <w:color w:val="000000"/>
          <w:sz w:val="20"/>
          <w:szCs w:val="20"/>
          <w:shd w:fill="FFFFFF" w:val="clear"/>
        </w:rPr>
        <w:t xml:space="preserve">rojektowane nawierzchnie boisk i placów zabaw wykonane z tworzyw sztucznych muszą spełniać wytyczne zawarte w Rozporządzeniu Komisji (UE) nr 1272/2013 z dnia 6 grudnia 2013r. zmieniające załącznik XVII do rozporządzenia (WE) nr 1907/2006 Parlamentu Europejskiego i Rady w sprawie rejestracji, oceny, udzielania zezwoleń i stosownych ograniczeń w zakresie chemikaliów (REACH) w odniesieniu do wielopierścieniowych węglowodorów aromatycznych, obowiązującym od 27 grudnia 2015r. </w:t>
      </w:r>
    </w:p>
    <w:p>
      <w:pPr>
        <w:pStyle w:val="Tretekstu"/>
        <w:widowControl/>
        <w:tabs>
          <w:tab w:val="clear" w:pos="720"/>
          <w:tab w:val="left" w:pos="735" w:leader="none"/>
        </w:tabs>
        <w:suppressAutoHyphens w:val="true"/>
        <w:bidi w:val="0"/>
        <w:spacing w:lineRule="auto" w:line="276" w:before="0" w:after="140"/>
        <w:ind w:left="737" w:right="0" w:hanging="0"/>
        <w:jc w:val="both"/>
        <w:rPr>
          <w:i/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Projektowane nawierzchnie z tworzyw sztucznych nie są nawierzchniami szczelnymi i pozwalają na częściowe przenikanie opadowych wód powierzchniowych do gruntu.</w:t>
      </w:r>
    </w:p>
    <w:p>
      <w:pPr>
        <w:pStyle w:val="Tretekstu"/>
        <w:widowControl/>
        <w:suppressAutoHyphens w:val="true"/>
        <w:bidi w:val="0"/>
        <w:spacing w:lineRule="auto" w:line="276" w:before="0" w:after="140"/>
        <w:ind w:left="680" w:right="0" w:hanging="0"/>
        <w:jc w:val="both"/>
        <w:rPr>
          <w:i/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 xml:space="preserve">Wykonawca jest bezwzględnie zobowiązany do dostarczenia próbki granulatu o wskazanych kolorach przed wykonaniem nawierzchni w celu zweryfikowania koloru nawierzchni. </w:t>
      </w:r>
    </w:p>
    <w:p>
      <w:pPr>
        <w:pStyle w:val="Nagwek3"/>
        <w:rPr>
          <w:i/>
          <w:i/>
          <w:iCs/>
          <w:color w:val="000000"/>
          <w:sz w:val="20"/>
          <w:szCs w:val="20"/>
        </w:rPr>
      </w:pPr>
      <w:r>
        <w:rPr/>
      </w:r>
    </w:p>
    <w:p>
      <w:pPr>
        <w:pStyle w:val="Tretekstu"/>
        <w:widowControl/>
        <w:suppressAutoHyphens w:val="true"/>
        <w:bidi w:val="0"/>
        <w:spacing w:lineRule="auto" w:line="276" w:before="0" w:after="140"/>
        <w:ind w:left="680" w:right="0" w:hanging="0"/>
        <w:jc w:val="both"/>
        <w:rPr>
          <w:i/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</w:r>
    </w:p>
    <w:p>
      <w:pPr>
        <w:pStyle w:val="Nagwek3"/>
        <w:numPr>
          <w:ilvl w:val="2"/>
          <w:numId w:val="4"/>
        </w:numPr>
        <w:rPr>
          <w:sz w:val="20"/>
          <w:szCs w:val="20"/>
        </w:rPr>
      </w:pPr>
      <w:bookmarkStart w:id="29" w:name="__RefHeading___Toc3137_4050815349_kopia_"/>
      <w:bookmarkStart w:id="30" w:name="_ri3yl7foejx6_kopia_2"/>
      <w:bookmarkEnd w:id="29"/>
      <w:bookmarkEnd w:id="30"/>
      <w:r>
        <w:rPr/>
        <w:t xml:space="preserve">ODPROWADZENIE WÓD OPADOWYCH </w:t>
      </w:r>
    </w:p>
    <w:p>
      <w:pPr>
        <w:pStyle w:val="Tretekstu"/>
        <w:widowControl/>
        <w:suppressAutoHyphens w:val="true"/>
        <w:bidi w:val="0"/>
        <w:spacing w:lineRule="auto" w:line="276" w:before="0" w:after="140"/>
        <w:ind w:left="737" w:right="0" w:hanging="0"/>
        <w:jc w:val="left"/>
        <w:rPr>
          <w:sz w:val="20"/>
          <w:szCs w:val="20"/>
        </w:rPr>
      </w:pPr>
      <w:r>
        <w:rPr>
          <w:sz w:val="20"/>
          <w:szCs w:val="20"/>
        </w:rPr>
        <w:t>Projektowane zagospodarowanie terenu nie wprowadza zmian w dotychczasowym sposobie odprowadzania wód opadowych. Odprowadzenie wód odbywa się powierzchniowo do gruntu na terenie inwestycji, zgodnie ze stanem istniejącym.</w:t>
      </w:r>
    </w:p>
    <w:p>
      <w:pPr>
        <w:pStyle w:val="Tretekstu"/>
        <w:widowControl/>
        <w:suppressAutoHyphens w:val="true"/>
        <w:bidi w:val="0"/>
        <w:spacing w:lineRule="auto" w:line="276" w:before="0" w:after="140"/>
        <w:ind w:left="737" w:right="0" w:hanging="0"/>
        <w:jc w:val="left"/>
        <w:rPr>
          <w:sz w:val="20"/>
          <w:szCs w:val="20"/>
        </w:rPr>
      </w:pPr>
      <w:r>
        <w:rPr>
          <w:sz w:val="20"/>
          <w:szCs w:val="20"/>
        </w:rPr>
        <w:t>Ukształtowanie wysokościowe terenu oraz zaprojektowane spadki podłużne i poprzeczne zapewniają kierunkowe odprowadzenie wód opadowych na przyległe tereny biologicznie czynne, w granicach działki inwestycyjnej. Przyjęte rozwiązania materiałowe nawierzchni boisk umożliwiają przenikanie wód opadowych przez warstwy konstrukcyjne do gruntu, co zapewnia ich naturalne wsiąkanie.</w:t>
      </w:r>
    </w:p>
    <w:p>
      <w:pPr>
        <w:pStyle w:val="Tretekstu"/>
        <w:widowControl/>
        <w:suppressAutoHyphens w:val="true"/>
        <w:bidi w:val="0"/>
        <w:spacing w:lineRule="auto" w:line="276" w:before="0" w:after="140"/>
        <w:ind w:left="680" w:right="0" w:hanging="0"/>
        <w:jc w:val="both"/>
        <w:rPr>
          <w:i/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</w:r>
    </w:p>
    <w:p>
      <w:pPr>
        <w:pStyle w:val="Nagwek3"/>
        <w:numPr>
          <w:ilvl w:val="2"/>
          <w:numId w:val="4"/>
        </w:numPr>
        <w:rPr>
          <w:sz w:val="20"/>
          <w:szCs w:val="20"/>
        </w:rPr>
      </w:pPr>
      <w:bookmarkStart w:id="31" w:name="__RefHeading___Toc3137_4050815349"/>
      <w:bookmarkStart w:id="32" w:name="_ri3yl7foejx6"/>
      <w:bookmarkEnd w:id="31"/>
      <w:bookmarkEnd w:id="32"/>
      <w:r>
        <w:rPr/>
        <w:t>OBRZEŻA</w:t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37" w:right="0" w:hanging="0"/>
        <w:jc w:val="both"/>
        <w:rPr>
          <w:sz w:val="20"/>
          <w:szCs w:val="20"/>
        </w:rPr>
      </w:pPr>
      <w:r>
        <w:rPr>
          <w:sz w:val="20"/>
          <w:szCs w:val="20"/>
        </w:rPr>
        <w:t>Zaprojektowano obrzeża i krawężniki betonowe o wymiarach 8x30x100cm. Należy sytuować je na świeżym, niezwiązanym betonie klasy C12/15, stanowiącym ławę fundamentową z oporem. Promienie łuków wykonywane przy wszystkich nawierzchniach powinny odpowiadać pełnym wymiarom zgodnie z rysunkiem zagospodarowania terenu. Nie dopuszcza się stosowania obrzeży ciętych. Zaleca się stosowanie łuków o wymiarach 50,100, 200, 300 cm.</w:t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37" w:righ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37" w:right="0" w:hanging="0"/>
        <w:jc w:val="both"/>
        <w:rPr>
          <w:sz w:val="20"/>
          <w:szCs w:val="20"/>
        </w:rPr>
      </w:pPr>
      <w:r>
        <w:rPr>
          <w:sz w:val="20"/>
          <w:szCs w:val="20"/>
        </w:rPr>
        <w:t>W strefach ochrony drzew sugerowane jest stosowanie obrzeży ogrodowych oddzielających, o wymiarach 7,8x8,5 cm i gr. 5 mm. Obrzeża mają być dostosowane do formowania zakrzywień czy łuków, zgodnie z opracowaniem w części graficznej. Montaż obrzeży nie wymaga wykonywania wcześniejszego wykopu i ciężkich prac ziemnych.</w:t>
      </w:r>
    </w:p>
    <w:p>
      <w:pPr>
        <w:pStyle w:val="Normal1"/>
        <w:widowControl/>
        <w:suppressAutoHyphens w:val="true"/>
        <w:bidi w:val="0"/>
        <w:spacing w:lineRule="auto" w:line="276" w:before="0" w:after="0"/>
        <w:ind w:left="737" w:righ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retekstu"/>
        <w:widowControl w:val="false"/>
        <w:shd w:val="clear" w:fill="FFFFFF"/>
        <w:suppressAutoHyphens w:val="true"/>
        <w:bidi w:val="0"/>
        <w:jc w:val="both"/>
        <w:rPr>
          <w:b/>
          <w:bCs/>
          <w:color w:val="000000"/>
        </w:rPr>
      </w:pPr>
      <w:r>
        <w:rPr>
          <w:rFonts w:eastAsia="Microsoft YaHei" w:cs="Arial"/>
          <w:b w:val="false"/>
          <w:bCs w:val="false"/>
          <w:i w:val="false"/>
          <w:iCs w:val="false"/>
          <w:color w:val="000000"/>
          <w:kern w:val="2"/>
          <w:sz w:val="20"/>
          <w:szCs w:val="20"/>
          <w:highlight w:val="white"/>
          <w:lang w:val="pl-PL" w:eastAsia="zh-CN" w:bidi="hi-IN"/>
        </w:rPr>
        <w:tab/>
        <w:t xml:space="preserve">Uwaga!: Obrzeża znajdujące się przy boisku przykrywać ostatnią warstwą nawierzchni syntetycznej </w:t>
        <w:tab/>
        <w:t>w celu uniknięcia odspojenia nawierzchni syntetycznej od podbudowy.</w:t>
      </w:r>
    </w:p>
    <w:p>
      <w:pPr>
        <w:pStyle w:val="Nagwek2"/>
        <w:numPr>
          <w:ilvl w:val="2"/>
          <w:numId w:val="4"/>
        </w:numPr>
        <w:rPr/>
      </w:pPr>
      <w:bookmarkStart w:id="33" w:name="__RefHeading___Toc3113_4050815349"/>
      <w:bookmarkStart w:id="34" w:name="_a7g7exk1nrdn"/>
      <w:bookmarkEnd w:id="33"/>
      <w:bookmarkEnd w:id="34"/>
      <w:r>
        <w:rPr/>
        <w:t>MAŁA ARCHITEKTURA</w:t>
      </w:r>
    </w:p>
    <w:p>
      <w:pPr>
        <w:pStyle w:val="Normal1"/>
        <w:ind w:left="709" w:hanging="0"/>
        <w:jc w:val="both"/>
        <w:rPr>
          <w:sz w:val="20"/>
          <w:szCs w:val="20"/>
        </w:rPr>
      </w:pPr>
      <w:r>
        <w:rPr>
          <w:sz w:val="20"/>
          <w:szCs w:val="20"/>
        </w:rPr>
        <w:t>Zaplanowano elementy małej architektury takie jak ławki. Wszystkim elementom małej architektury należy zapewnić odpowiednie posadowienie, według zaleceń producenta. Wszystkie elementy małej architektury tj. ławki mają być wykonane z tego samego rodzaju drewna egzotycznego, np. Iroko lub innego gatunku o porównywalnych parametrach technicznych i użytkowych.  Elementy stalowe mają być wykonane ze stali ocynkowanej lub nierdzewnej według opisów na rysunkach detalicznych.</w:t>
      </w:r>
    </w:p>
    <w:p>
      <w:pPr>
        <w:pStyle w:val="Normal1"/>
        <w:ind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</w:r>
    </w:p>
    <w:p>
      <w:pPr>
        <w:pStyle w:val="Nagwek2"/>
        <w:numPr>
          <w:ilvl w:val="2"/>
          <w:numId w:val="4"/>
        </w:numPr>
        <w:rPr>
          <w:sz w:val="24"/>
          <w:szCs w:val="24"/>
        </w:rPr>
      </w:pPr>
      <w:bookmarkStart w:id="35" w:name="__RefHeading___Toc3111_4050815349_kopia_"/>
      <w:bookmarkEnd w:id="35"/>
      <w:r>
        <w:rPr/>
        <w:t>BOISKO DO PIŁKI SIATKOWEJ ORAZ KOSZYKOWEJ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sz w:val="20"/>
          <w:szCs w:val="20"/>
        </w:rPr>
        <w:t>Na terenie zaprojektowano boisko wielofunkcyjne do gry w piłkę siatkową i koszykową. Wyposażenie obejmuje dwa słupy z koszami oraz dwa słupki z siatką. Całość boiska otoczona będzie piłkochwytami.</w:t>
      </w:r>
    </w:p>
    <w:p>
      <w:pPr>
        <w:pStyle w:val="Normal1"/>
        <w:ind w:left="709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agwek2"/>
        <w:numPr>
          <w:ilvl w:val="2"/>
          <w:numId w:val="4"/>
        </w:numPr>
        <w:rPr>
          <w:sz w:val="24"/>
          <w:szCs w:val="24"/>
        </w:rPr>
      </w:pPr>
      <w:bookmarkStart w:id="36" w:name="__RefHeading___Toc3109_4050815349"/>
      <w:bookmarkEnd w:id="36"/>
      <w:r>
        <w:rPr/>
        <w:t>STREFA SIŁOWNI STREETWORKOUT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sz w:val="20"/>
          <w:szCs w:val="20"/>
        </w:rPr>
        <w:t xml:space="preserve">Na terenie zaprojektowano przestrzeń wyposażoną w urządzenia do treningu typu streetworkout, takie jak: poręcze z drabinkami do podciągania i wspinania, drążki o różnej wysokości do przewrotów i akrobacji oraz wielofunkcyjny zestaw sprawnościowy z siatką i liną do wspinania.  Strefa aktywności fizycznej na świeżym powietrzu umożliwia użytkownikom korzystanie z urządzeń wspierających ogólną kondycję i zdrowie. Siłownia została zaplanowana z myślą o osobach w różnym wieku i o różnym poziomie sprawności. Wszystkim elementom należy zapewnić odpowiednie posadowienie, według zaleceń producenta. 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</w:r>
    </w:p>
    <w:p>
      <w:pPr>
        <w:pStyle w:val="Nagwek2"/>
        <w:numPr>
          <w:ilvl w:val="2"/>
          <w:numId w:val="4"/>
        </w:numPr>
        <w:rPr>
          <w:sz w:val="24"/>
          <w:szCs w:val="24"/>
        </w:rPr>
      </w:pPr>
      <w:bookmarkStart w:id="37" w:name="__RefHeading___Toc3109_4050815349_kopia_"/>
      <w:bookmarkEnd w:id="37"/>
      <w:r>
        <w:rPr/>
        <w:t>STREFA TENISA STOŁOWEGO I BOISKA TYPU PANNA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  <w:t xml:space="preserve">Na terenie zaprojektowano przestrzeń wyposażoną w elementy wyposażenia sportowego takie jak stół do tenisa stołowego oraz boisko typu „Panna” w formie ośmiokątnej klatki przeznaczone do gier zespołowych. Strefa aktywności fizycznej na świeżym powietrzu umożliwia użytkownikom korzystanie z urządzeń wspierających ogólną kondycję i zdrowie. Strefa tenisa stołowego i boiska typu „Panna” została zaplanowana z myślą o osobach w różnym wieku i o różnym poziomie sprawności. Wszystkim elementom należy zapewnić odpowiednie posadowienie, według zaleceń producenta. 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  <w:t xml:space="preserve"> </w:t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</w:r>
    </w:p>
    <w:p>
      <w:pPr>
        <w:pStyle w:val="Normal1"/>
        <w:ind w:left="709" w:hanging="0"/>
        <w:jc w:val="both"/>
        <w:rPr>
          <w:rFonts w:ascii="Tahoma" w:hAnsi="Tahoma" w:eastAsia="Tahoma" w:cs="Tahoma"/>
          <w:sz w:val="20"/>
          <w:szCs w:val="20"/>
        </w:rPr>
      </w:pPr>
      <w:r>
        <w:rPr>
          <w:rFonts w:eastAsia="Tahoma" w:cs="Tahoma" w:ascii="Tahoma" w:hAnsi="Tahoma"/>
          <w:sz w:val="20"/>
          <w:szCs w:val="20"/>
        </w:rPr>
      </w:r>
    </w:p>
    <w:p>
      <w:pPr>
        <w:pStyle w:val="Nagwek3"/>
        <w:numPr>
          <w:ilvl w:val="2"/>
          <w:numId w:val="4"/>
        </w:numPr>
        <w:rPr>
          <w:sz w:val="20"/>
          <w:szCs w:val="20"/>
        </w:rPr>
      </w:pPr>
      <w:bookmarkStart w:id="38" w:name="__RefHeading___Toc9949_931842663"/>
      <w:bookmarkEnd w:id="38"/>
      <w:r>
        <w:rPr/>
        <w:t xml:space="preserve">INSTALACJE ELEKTRYCZNE </w:t>
      </w:r>
    </w:p>
    <w:p>
      <w:pPr>
        <w:pStyle w:val="Nagwek2"/>
        <w:rPr>
          <w:sz w:val="20"/>
          <w:szCs w:val="20"/>
        </w:rPr>
      </w:pPr>
      <w:bookmarkStart w:id="39" w:name="__RefHeading___Toc1004_3614978031"/>
      <w:bookmarkEnd w:id="39"/>
      <w:r>
        <w:rPr>
          <w:sz w:val="20"/>
          <w:szCs w:val="20"/>
        </w:rPr>
        <w:t>Zasilanie oświetlenia</w:t>
      </w:r>
    </w:p>
    <w:p>
      <w:pPr>
        <w:pStyle w:val="Normal"/>
        <w:widowControl/>
        <w:suppressAutoHyphens w:val="true"/>
        <w:bidi w:val="0"/>
        <w:spacing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Projektowane oprawy oświetleniowe montowane na nowych słupach należy zasilić linią kablową nn 0,4kV z proj. szafy oświetleniowej SO wyposażoną w zabezpieczenia obwodów odbiorczych oraz układ sterowania oświetleniem. Projektuje się szafę SO w wykonaniu wolnostojącym przy elewacji budynku szkoły. Projektowaną SO należy zasilić z istniejącej rozdzielnicy głównej RG szkoły, którą należy doposażyć w rozłącznik bezpiecznikowy 3P 63A.</w:t>
      </w:r>
    </w:p>
    <w:p>
      <w:pPr>
        <w:pStyle w:val="Nagwek2"/>
        <w:rPr>
          <w:sz w:val="20"/>
          <w:szCs w:val="20"/>
        </w:rPr>
      </w:pPr>
      <w:bookmarkStart w:id="40" w:name="__RefHeading___Toc1002_3614978031"/>
      <w:bookmarkEnd w:id="40"/>
      <w:r>
        <w:rPr>
          <w:sz w:val="20"/>
          <w:szCs w:val="20"/>
        </w:rPr>
        <w:t>Słupy oświetleniowe</w:t>
      </w:r>
    </w:p>
    <w:p>
      <w:pPr>
        <w:pStyle w:val="Tretekstu"/>
        <w:widowControl/>
        <w:tabs>
          <w:tab w:val="clear" w:pos="720"/>
          <w:tab w:val="left" w:pos="1134" w:leader="none"/>
        </w:tabs>
        <w:suppressAutoHyphens w:val="true"/>
        <w:bidi w:val="0"/>
        <w:spacing w:lineRule="auto" w:line="276"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Projektuje się słupy stalowe okrągłe o grubości nie mniejszej niż 4mm, posadowione w ziemi (część nadziemna słupa h=8m). Średnica wierzchołkowa słupów wynosi 60mm. Należy stosować słupy z zaciskiem uziemiającym, z wnęką kablową na wysokości 60cm nad ziemią, ustawioną w stronę przeciwną do projektowanego boiska szkolnego. Żywotność słupów min. 40 lat. Słupy wyposażyć w komplet elementów złącznych słupa ze stali nierdzewnej (nakrętki, podkładki), osłony na nakrętki z tworzywa sztucznego itd. oraz kluczyk do wnęki słupowej.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Do słupów należy wciągnąć przewody okrągłe YDYżo 5x1,5mm</w:t>
      </w:r>
      <w:r>
        <w:rPr>
          <w:rFonts w:cs="Arial"/>
          <w:sz w:val="20"/>
          <w:szCs w:val="20"/>
          <w:vertAlign w:val="superscript"/>
        </w:rPr>
        <w:t>2</w:t>
      </w:r>
      <w:r>
        <w:rPr>
          <w:rFonts w:cs="Arial"/>
          <w:sz w:val="20"/>
          <w:szCs w:val="20"/>
        </w:rPr>
        <w:t xml:space="preserve"> – 450/750V, dwie żyły podłączyć do zacisków zasilacza służących do jego wysterowania i zakończyć złączkami zaciskowymi we wnęce słupowej z zapasem ok. 0,5m. We wnękach słupów oświetleniowych należy stosować izolowane złącza kablowe (bezpiecznikowe, fazowe oraz zerowe). Złącza bezpiecznikowe należy wyposażyć w bezpiecznik topikowy 4A gG/gL dla każdej oprawy oświetleniowej osobno.</w:t>
      </w:r>
    </w:p>
    <w:p>
      <w:pPr>
        <w:pStyle w:val="Nagwek2"/>
        <w:rPr>
          <w:sz w:val="20"/>
          <w:szCs w:val="20"/>
        </w:rPr>
      </w:pPr>
      <w:bookmarkStart w:id="41" w:name="__RefHeading___Toc1000_3614978031"/>
      <w:bookmarkEnd w:id="41"/>
      <w:r>
        <w:rPr>
          <w:sz w:val="20"/>
          <w:szCs w:val="20"/>
        </w:rPr>
        <w:t>Montaż opraw oświetleniowych</w:t>
      </w:r>
    </w:p>
    <w:p>
      <w:pPr>
        <w:pStyle w:val="Normal"/>
        <w:widowControl/>
        <w:suppressAutoHyphens w:val="true"/>
        <w:bidi w:val="0"/>
        <w:spacing w:before="0" w:after="0"/>
        <w:ind w:left="680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Projektuje się oprawy oświetleniowe typu LED o stopniu szczelności min. IP66 i stopniu ochrony min IK7. Oprawy oświetleniowe montować na słupach oświetleniowych (zgodnych z pkt. 2.2) na wsporniku stalowym ocynkowanym zachowując możliwość montażu trzech opraw na słupie.</w:t>
      </w:r>
    </w:p>
    <w:p>
      <w:pPr>
        <w:pStyle w:val="Normal"/>
        <w:widowControl/>
        <w:suppressAutoHyphens w:val="true"/>
        <w:bidi w:val="0"/>
        <w:spacing w:before="0" w:after="0"/>
        <w:ind w:left="680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Oświetlenie projektowanego boiska powinno spełniać wymagania normy PN-EN 12193 „Światło i oświetlenie – Oświetlenie w sporcie”.</w:t>
      </w:r>
    </w:p>
    <w:p>
      <w:pPr>
        <w:pStyle w:val="Normal"/>
        <w:widowControl/>
        <w:suppressAutoHyphens w:val="true"/>
        <w:bidi w:val="0"/>
        <w:spacing w:before="0" w:after="0"/>
        <w:ind w:left="680" w:righ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agwek2"/>
        <w:rPr/>
      </w:pPr>
      <w:bookmarkStart w:id="42" w:name="__RefHeading___Toc998_3614978031"/>
      <w:bookmarkEnd w:id="42"/>
      <w:r>
        <w:rPr>
          <w:sz w:val="20"/>
          <w:szCs w:val="20"/>
        </w:rPr>
        <w:t>Sterowanie oświetleniem</w:t>
      </w:r>
    </w:p>
    <w:p>
      <w:pPr>
        <w:pStyle w:val="Normal"/>
        <w:widowControl/>
        <w:suppressAutoHyphens w:val="true"/>
        <w:bidi w:val="0"/>
        <w:spacing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Sterowanie oświetleniem odbywać się będzie za pomocą zegara astronomicznego w projektowanej szafie oświetleniowej SO oraz przez załączanie ręcznie za pomocą przełącznika 3-pozycyjnego, tj.:</w:t>
      </w:r>
    </w:p>
    <w:p>
      <w:pPr>
        <w:pStyle w:val="Tretekstu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I – sterowanie zegarem astronomicznym</w:t>
      </w:r>
    </w:p>
    <w:p>
      <w:pPr>
        <w:pStyle w:val="Tretekstu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0 – wyłączenie oświetlenia</w:t>
      </w:r>
    </w:p>
    <w:p>
      <w:pPr>
        <w:pStyle w:val="Tretekstu"/>
        <w:numPr>
          <w:ilvl w:val="0"/>
          <w:numId w:val="9"/>
        </w:numPr>
        <w:spacing w:before="0" w:after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II – sterowanie ręczne, tj. „załącz oświetlenie”</w:t>
      </w:r>
    </w:p>
    <w:p>
      <w:pPr>
        <w:pStyle w:val="Nagwek2"/>
        <w:rPr>
          <w:sz w:val="20"/>
          <w:szCs w:val="20"/>
        </w:rPr>
      </w:pPr>
      <w:bookmarkStart w:id="43" w:name="__RefHeading___Toc996_3614978031"/>
      <w:bookmarkEnd w:id="43"/>
      <w:r>
        <w:rPr>
          <w:sz w:val="20"/>
          <w:szCs w:val="20"/>
        </w:rPr>
        <w:t>Posadowienie słupów oświetleniowych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454" w:right="0" w:hanging="0"/>
        <w:jc w:val="left"/>
        <w:rPr>
          <w:sz w:val="20"/>
          <w:szCs w:val="20"/>
        </w:rPr>
      </w:pPr>
      <w:r>
        <w:rPr>
          <w:rFonts w:cs="Arial"/>
          <w:sz w:val="20"/>
          <w:szCs w:val="20"/>
        </w:rPr>
        <w:t>Projektuje się posadowić słupy oświetleniowe na fundamencie betonowym.</w:t>
      </w:r>
    </w:p>
    <w:p>
      <w:pPr>
        <w:pStyle w:val="Tretekstu"/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454" w:right="0" w:hanging="0"/>
        <w:jc w:val="left"/>
        <w:rPr>
          <w:sz w:val="20"/>
          <w:szCs w:val="20"/>
        </w:rPr>
      </w:pPr>
      <w:r>
        <w:rPr>
          <w:rFonts w:cs="Arial"/>
          <w:sz w:val="20"/>
          <w:szCs w:val="20"/>
        </w:rPr>
        <w:t>Przy zasypywaniu słupów należy uwzględnić następujące uwagi:</w:t>
      </w:r>
    </w:p>
    <w:p>
      <w:pPr>
        <w:pStyle w:val="Tretekstu"/>
        <w:numPr>
          <w:ilvl w:val="0"/>
          <w:numId w:val="10"/>
        </w:numPr>
        <w:spacing w:before="0" w:after="0"/>
        <w:ind w:left="1000" w:hanging="36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Wykopy dla słupów należy zasypać silnie ubijanymi warstwami (co 20 cm) gruntu zasypowego.</w:t>
      </w:r>
    </w:p>
    <w:p>
      <w:pPr>
        <w:pStyle w:val="Tretekstu"/>
        <w:numPr>
          <w:ilvl w:val="0"/>
          <w:numId w:val="10"/>
        </w:numPr>
        <w:spacing w:before="0" w:after="0"/>
        <w:ind w:left="1000" w:hanging="36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Wykopów nie wolno zasypywać gruntem nienośnym: torfy, muł, gruz nienośny jw.</w:t>
      </w:r>
    </w:p>
    <w:p>
      <w:pPr>
        <w:pStyle w:val="Tretekstu"/>
        <w:numPr>
          <w:ilvl w:val="0"/>
          <w:numId w:val="10"/>
        </w:numPr>
        <w:spacing w:before="0" w:after="0"/>
        <w:ind w:left="1000" w:hanging="36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Wykopy w gruntach nienośnych należy zasypywać pospółką piaskową dowiezioną z zewnątrz.</w:t>
      </w:r>
    </w:p>
    <w:p>
      <w:pPr>
        <w:pStyle w:val="Tretekstu"/>
        <w:numPr>
          <w:ilvl w:val="0"/>
          <w:numId w:val="10"/>
        </w:numPr>
        <w:spacing w:before="0" w:after="0"/>
        <w:ind w:left="1000" w:hanging="36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W przypadku stwierdzenia gruntu słabszego niż to przewidziano w projekcie należy wówczas zastosować ustój silniejszy.</w:t>
      </w:r>
    </w:p>
    <w:p>
      <w:pPr>
        <w:pStyle w:val="Tretekstu"/>
        <w:numPr>
          <w:ilvl w:val="0"/>
          <w:numId w:val="10"/>
        </w:numPr>
        <w:spacing w:before="0" w:after="0"/>
        <w:ind w:left="1000" w:hanging="36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Słup oświetleniowy na wysokości do 40cm od fundamentu należy dodatkowo zabezpieczyć przed korozją farbą (w kolorze słupa oświetleniowego)</w:t>
      </w:r>
    </w:p>
    <w:p>
      <w:pPr>
        <w:pStyle w:val="Nagwek2"/>
        <w:rPr>
          <w:sz w:val="20"/>
          <w:szCs w:val="20"/>
        </w:rPr>
      </w:pPr>
      <w:bookmarkStart w:id="44" w:name="__RefHeading___Toc994_3614978031"/>
      <w:bookmarkEnd w:id="44"/>
      <w:r>
        <w:rPr>
          <w:sz w:val="20"/>
          <w:szCs w:val="20"/>
        </w:rPr>
        <w:t>Skrzyżowania i zbliżenia z istniejącym uzbrojeniem technicznym</w:t>
      </w:r>
    </w:p>
    <w:p>
      <w:pPr>
        <w:pStyle w:val="Normal"/>
        <w:widowControl/>
        <w:tabs>
          <w:tab w:val="clear" w:pos="720"/>
          <w:tab w:val="left" w:pos="567" w:leader="none"/>
          <w:tab w:val="left" w:pos="964" w:leader="none"/>
        </w:tabs>
        <w:suppressAutoHyphens w:val="true"/>
        <w:bidi w:val="0"/>
        <w:spacing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 xml:space="preserve">Wszystkie skrzyżowania i zbliżenia kabli z istniejącym uzbrojeniem podziemnym należy wykonać zgodnie z NSEP-E-004. W przypadku, gdy z uzasadnionych względów odległości te nie mogą być zachowane należy zastosować rury ochronne z tworzywa HDPE. W otwartych wykopach stosować rury typu DVK pod drogami rowerowymi, pod drogami głównymi rury ochronne typu SRS. </w:t>
      </w:r>
    </w:p>
    <w:p>
      <w:pPr>
        <w:pStyle w:val="Nagwek2"/>
        <w:rPr>
          <w:sz w:val="20"/>
          <w:szCs w:val="20"/>
        </w:rPr>
      </w:pPr>
      <w:bookmarkStart w:id="45" w:name="__RefHeading___Toc992_3614978031"/>
      <w:bookmarkEnd w:id="45"/>
      <w:r>
        <w:rPr>
          <w:sz w:val="20"/>
          <w:szCs w:val="20"/>
        </w:rPr>
        <w:t>Oznaczenia linii kablowych</w:t>
      </w:r>
    </w:p>
    <w:p>
      <w:pPr>
        <w:pStyle w:val="Normal"/>
        <w:widowControl/>
        <w:tabs>
          <w:tab w:val="clear" w:pos="720"/>
          <w:tab w:val="left" w:pos="567" w:leader="none"/>
          <w:tab w:val="left" w:pos="964" w:leader="none"/>
        </w:tabs>
        <w:suppressAutoHyphens w:val="true"/>
        <w:bidi w:val="0"/>
        <w:spacing w:before="0" w:after="0"/>
        <w:ind w:left="680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 xml:space="preserve">Kable ułożone w ziemi powinny być zaopatrzone na całej długości w trwałe oznaczniki rozmieszczone w odstępach nie większych niż 10m oraz w miejscach charakterystycznych, jw. skrzyżowaniach, wejściach do rur osłonowych, na końcach kabli. </w:t>
      </w:r>
    </w:p>
    <w:p>
      <w:pPr>
        <w:pStyle w:val="Normal"/>
        <w:tabs>
          <w:tab w:val="clear" w:pos="720"/>
          <w:tab w:val="left" w:pos="567" w:leader="none"/>
          <w:tab w:val="left" w:pos="964" w:leader="none"/>
        </w:tabs>
        <w:ind w:firstLine="284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ab/>
        <w:t>Na oznaczniku kablowym należy umieścić: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357" w:leader="none"/>
          <w:tab w:val="left" w:pos="567" w:leader="none"/>
        </w:tabs>
        <w:ind w:left="709" w:hanging="142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Typ kabla,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357" w:leader="none"/>
          <w:tab w:val="left" w:pos="567" w:leader="none"/>
        </w:tabs>
        <w:ind w:left="709" w:hanging="142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Użytkownika,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20"/>
          <w:tab w:val="left" w:pos="357" w:leader="none"/>
          <w:tab w:val="left" w:pos="567" w:leader="none"/>
        </w:tabs>
        <w:ind w:left="709" w:hanging="142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Rok ułożenia </w:t>
      </w:r>
    </w:p>
    <w:p>
      <w:pPr>
        <w:pStyle w:val="Normal"/>
        <w:widowControl w:val="false"/>
        <w:tabs>
          <w:tab w:val="clear" w:pos="720"/>
          <w:tab w:val="left" w:pos="357" w:leader="none"/>
          <w:tab w:val="left" w:pos="567" w:leader="none"/>
        </w:tabs>
        <w:ind w:left="567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jw. YAKXS 4x25mm</w:t>
      </w:r>
      <w:r>
        <w:rPr>
          <w:rFonts w:cs="Arial"/>
          <w:sz w:val="20"/>
          <w:szCs w:val="20"/>
          <w:vertAlign w:val="superscript"/>
        </w:rPr>
        <w:t>2</w:t>
      </w:r>
      <w:r>
        <w:rPr>
          <w:rFonts w:cs="Arial"/>
          <w:sz w:val="20"/>
          <w:szCs w:val="20"/>
        </w:rPr>
        <w:t>, Oświetlenie, 2024, Własność</w:t>
      </w:r>
    </w:p>
    <w:p>
      <w:pPr>
        <w:pStyle w:val="Normal"/>
        <w:widowControl/>
        <w:suppressAutoHyphens w:val="true"/>
        <w:bidi w:val="0"/>
        <w:spacing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 xml:space="preserve">Oznaczniki do zakładania wzdłuż trasy kabla wykonać w formie opasek z tworzywa sztucznego, a napisy wykonać przez tłoczenie na gorąco. </w:t>
      </w:r>
    </w:p>
    <w:p>
      <w:pPr>
        <w:pStyle w:val="Nagwek2"/>
        <w:rPr>
          <w:sz w:val="20"/>
          <w:szCs w:val="20"/>
        </w:rPr>
      </w:pPr>
      <w:bookmarkStart w:id="46" w:name="__RefHeading___Toc990_3614978031"/>
      <w:bookmarkEnd w:id="46"/>
      <w:r>
        <w:rPr>
          <w:sz w:val="20"/>
          <w:szCs w:val="20"/>
        </w:rPr>
        <w:t>Osprzęt kablowy</w:t>
      </w:r>
    </w:p>
    <w:p>
      <w:pPr>
        <w:pStyle w:val="Tretekstu"/>
        <w:widowControl/>
        <w:suppressAutoHyphens w:val="true"/>
        <w:bidi w:val="0"/>
        <w:spacing w:lineRule="auto" w:line="276" w:before="0" w:after="140"/>
        <w:ind w:left="624" w:right="0" w:hanging="0"/>
        <w:jc w:val="both"/>
        <w:rPr>
          <w:sz w:val="20"/>
          <w:szCs w:val="20"/>
        </w:rPr>
      </w:pPr>
      <w:bookmarkStart w:id="47" w:name="_Hlk482049126"/>
      <w:r>
        <w:rPr>
          <w:rFonts w:cs="Arial"/>
          <w:sz w:val="20"/>
          <w:szCs w:val="20"/>
        </w:rPr>
        <w:t>Kable zostaną zakończone głowicami termokurczliwymi oraz izolacyjnymi złączami bezpiecznikowymi (IZK-4-01), izolacyjnymi złączami fazowym (IZK-4-02) i nieizolowanymi złączami zerowymi (IZK-4-04) lub równoważnymi.</w:t>
      </w:r>
      <w:bookmarkEnd w:id="47"/>
    </w:p>
    <w:p>
      <w:pPr>
        <w:pStyle w:val="Nagwek2"/>
        <w:rPr>
          <w:sz w:val="20"/>
          <w:szCs w:val="20"/>
        </w:rPr>
      </w:pPr>
      <w:bookmarkStart w:id="48" w:name="__RefHeading___Toc988_3614978031"/>
      <w:bookmarkEnd w:id="48"/>
      <w:r>
        <w:rPr>
          <w:sz w:val="20"/>
          <w:szCs w:val="20"/>
        </w:rPr>
        <w:t>Charakterystyka ekologiczna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624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Projektowane linie kablowe pod względem wytwarzanego pola elektromagnetycznego, emisji hałasu i zakłóceń elektromagnetycznych, nie mają ujemnego wpływu na środowisko, zdrowie ludzi i sąsiadujące obiekty. Inwestycja nie ingeruje w stosunki wodno-prawne.</w:t>
      </w:r>
    </w:p>
    <w:p>
      <w:pPr>
        <w:pStyle w:val="Nagwek2"/>
        <w:rPr>
          <w:sz w:val="20"/>
          <w:szCs w:val="20"/>
        </w:rPr>
      </w:pPr>
      <w:bookmarkStart w:id="49" w:name="__RefHeading___Toc986_3614978031"/>
      <w:bookmarkEnd w:id="49"/>
      <w:r>
        <w:rPr>
          <w:sz w:val="20"/>
          <w:szCs w:val="20"/>
        </w:rPr>
        <w:t xml:space="preserve">Zakres oddziaływania </w:t>
      </w:r>
    </w:p>
    <w:p>
      <w:pPr>
        <w:pStyle w:val="Normal"/>
        <w:widowControl/>
        <w:suppressAutoHyphens w:val="true"/>
        <w:bidi w:val="0"/>
        <w:spacing w:before="0" w:after="0"/>
        <w:ind w:left="73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Obszar oddziaływania obiektu, o którym mowa w art. 3 pkt. 20 i w art. 28 ust. 2 ustawy z dn. 07 lipca 1994r. – Prawo Budowlane, obejmuje tylko działki wskazane jako teren inwestycji.</w:t>
      </w:r>
    </w:p>
    <w:p>
      <w:pPr>
        <w:pStyle w:val="Normal"/>
        <w:widowControl/>
        <w:suppressAutoHyphens w:val="true"/>
        <w:bidi w:val="0"/>
        <w:spacing w:before="0" w:after="0"/>
        <w:ind w:left="680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Obszar oddziaływania obiektu i związane z tym ograniczenia w zagospodarowaniu, w tym zabudowy terenu określono na podstawie normy: NSEP-E-004:2014 - „Elektroenergetyczne i sygnalizacyjne linie kablowe. Projektowanie i budowa”.</w:t>
      </w:r>
    </w:p>
    <w:p>
      <w:pPr>
        <w:pStyle w:val="Normal"/>
        <w:widowControl/>
        <w:suppressAutoHyphens w:val="true"/>
        <w:bidi w:val="0"/>
        <w:spacing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 xml:space="preserve">Projektowane instalacje, powodują ograniczenie w możliwości zabudowy terenu, w szczególności posadowienia fundamentów budynków, w odległości poniżej 50cm od osi linii kablowej, wzdłuż trasy linii. </w:t>
      </w:r>
    </w:p>
    <w:p>
      <w:pPr>
        <w:pStyle w:val="Normal"/>
        <w:widowControl/>
        <w:suppressAutoHyphens w:val="true"/>
        <w:bidi w:val="0"/>
        <w:spacing w:before="0" w:after="0"/>
        <w:ind w:left="624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Mając powyższe na uwadze oraz usytuowanie projektowanych obiektów budowlanych, obszar oddziaływania obiektu nie wykracza poza działki wskazane jako teren inwestycji.</w:t>
      </w:r>
    </w:p>
    <w:p>
      <w:pPr>
        <w:pStyle w:val="Nagwek2"/>
        <w:rPr>
          <w:sz w:val="20"/>
          <w:szCs w:val="20"/>
        </w:rPr>
      </w:pPr>
      <w:bookmarkStart w:id="50" w:name="__RefHeading___Toc984_3614978031"/>
      <w:bookmarkEnd w:id="50"/>
      <w:r>
        <w:rPr>
          <w:sz w:val="20"/>
          <w:szCs w:val="20"/>
        </w:rPr>
        <w:t>Ochrona przeciwporażeniowa dla infrastruktury elektroenergetycznej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bookmarkStart w:id="51" w:name="_Hlk8308680"/>
      <w:bookmarkEnd w:id="51"/>
      <w:r>
        <w:rPr>
          <w:rFonts w:cs="Arial"/>
          <w:sz w:val="20"/>
          <w:szCs w:val="20"/>
        </w:rPr>
        <w:t>Jako środek ochrony podstawowej zastosowano: izolację, obudowy i osłony.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W sieci zewnętrznej 0,4/0,23kV pracującej w układzie TN-C-S jako środek ochrony przy uszkodzeniu projektuje się zastosowanie samoczynnego wyłączenie zasilania w określonym czasie. Dla linii zasilających czas wyłączenia nie powinien przekroczyć 5s, a dla obwodu zasilającego oprawy oświetlenia drogowego 0,4s.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Jako urządzenia wyłączające zastosowano bezpieczniki z wkładkami topikowymi o działaniu szybkim typu DO2 4A (wnęki słupów oświetleniowych).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Prawidłowe działanie zabezpieczeń i ochrony przeciwporażeniowej zapewnione jest przez wykonanie uziomu o oporności do 10</w:t>
      </w:r>
      <w:r>
        <w:rPr>
          <w:rFonts w:eastAsia="Symbol" w:cs="Symbol" w:ascii="Symbol" w:hAnsi="Symbol"/>
          <w:sz w:val="20"/>
          <w:szCs w:val="20"/>
        </w:rPr>
        <w:sym w:font="Symbol" w:char="f057"/>
      </w:r>
      <w:r>
        <w:rPr>
          <w:rFonts w:cs="Arial"/>
          <w:sz w:val="20"/>
          <w:szCs w:val="20"/>
        </w:rPr>
        <w:t xml:space="preserve"> poprzez ułożenie wzdłuż kabli bednarki stalowej ocynkowanej FeZn 25x4mm.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Dostępne części przewodzące urządzeń i aparatów zewnętrznych należy połączyć z przewodem neutralno-ochronnym PEN.</w:t>
      </w:r>
    </w:p>
    <w:p>
      <w:pPr>
        <w:pStyle w:val="Tretekstu"/>
        <w:widowControl/>
        <w:suppressAutoHyphens w:val="true"/>
        <w:bidi w:val="0"/>
        <w:spacing w:lineRule="auto" w:line="276" w:before="0" w:after="0"/>
        <w:ind w:left="567" w:right="0" w:hanging="0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Stosować przewód o przekroju nie mniejszym niż 6mm</w:t>
      </w:r>
      <w:r>
        <w:rPr>
          <w:rFonts w:cs="Arial"/>
          <w:sz w:val="20"/>
          <w:szCs w:val="20"/>
          <w:vertAlign w:val="superscript"/>
        </w:rPr>
        <w:t>2</w:t>
      </w:r>
      <w:r>
        <w:rPr>
          <w:rFonts w:cs="Arial"/>
          <w:sz w:val="20"/>
          <w:szCs w:val="20"/>
        </w:rPr>
        <w:t xml:space="preserve"> Cu.</w:t>
      </w:r>
    </w:p>
    <w:p>
      <w:pPr>
        <w:pStyle w:val="Nagwek2"/>
        <w:rPr>
          <w:sz w:val="20"/>
          <w:szCs w:val="20"/>
        </w:rPr>
      </w:pPr>
      <w:bookmarkStart w:id="52" w:name="__RefHeading___Toc982_3614978031"/>
      <w:bookmarkStart w:id="53" w:name="_Hlk8308680_kopia_1"/>
      <w:bookmarkEnd w:id="52"/>
      <w:bookmarkEnd w:id="53"/>
      <w:r>
        <w:rPr>
          <w:sz w:val="20"/>
          <w:szCs w:val="20"/>
        </w:rPr>
        <w:t>Uwagi końcowe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Przed przystąpieniem do robót należy na 7 dni naprzód powiadomić właścicieli i użytkowników instalacji celem wyznaczenia z ich strony nadzoru technicznego; powyższe dotyczy też właścicieli gruntów, przez które przebiegają trasy linii, należy też uwzględnić uwagi zawarte w uzgodnieniach.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Linie kablowe przed zasypaniem podlegają odbiorowi przez użytkownika oraz służbę geodezyjną.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Należy stosować materiały oraz osprzęt fabrycznie nowy i wyprodukowany nie wcześniej niż rok kalendarzowy przed instalacją.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Materiały oraz osprzęt winny posiadać certyfikaty wystawione przez jednostki akredytowane przez PCA lub równoważne jednostki z terenu UE, które potwierdzają ich wykonanie z wymaganiami jakościowymi, technicznymi i montażowymi zawartymi w normach.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Przed zakopaniem linii kablowych należy powiadomić i umożliwić sprawdzenie wykonanych prac służbą Inwestora oraz zarządcą sieci, z którymi wykonane linie kablowe się krzyżują.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Po zakończeniu prac, teren należy doprowadzić do stanu pierwotnego.</w:t>
      </w:r>
    </w:p>
    <w:p>
      <w:pPr>
        <w:pStyle w:val="Normal"/>
        <w:numPr>
          <w:ilvl w:val="0"/>
          <w:numId w:val="8"/>
        </w:numPr>
        <w:ind w:left="567" w:hanging="425"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 xml:space="preserve">Należy przeprowadzić sprawdzenie odbiorcze w zakresie ochrony przeciwporażeniowej, rezystancji uziemienia, natężenia oświetlenia i innych zgodnie z normami </w:t>
        <w:br/>
        <w:t>PN-HD 63064-6:2016-7, PN-EN 13201:2016.</w:t>
      </w:r>
    </w:p>
    <w:p>
      <w:pPr>
        <w:pStyle w:val="Normal"/>
        <w:rPr>
          <w:rFonts w:cs="Arial"/>
          <w:szCs w:val="20"/>
        </w:rPr>
      </w:pPr>
      <w:r>
        <w:rPr>
          <w:rFonts w:cs="Arial"/>
          <w:szCs w:val="20"/>
        </w:rPr>
      </w:r>
    </w:p>
    <w:p>
      <w:pPr>
        <w:pStyle w:val="Nagwek2"/>
        <w:numPr>
          <w:ilvl w:val="1"/>
          <w:numId w:val="4"/>
        </w:numPr>
        <w:rPr/>
      </w:pPr>
      <w:bookmarkStart w:id="54" w:name="__RefHeading___Toc3107_4050815349"/>
      <w:bookmarkStart w:id="55" w:name="_j87t43h27pwl"/>
      <w:bookmarkEnd w:id="54"/>
      <w:bookmarkEnd w:id="55"/>
      <w:r>
        <w:rPr/>
        <w:t>ZESTAWIENIE POWIERZCHNI</w:t>
      </w:r>
    </w:p>
    <w:tbl>
      <w:tblPr>
        <w:tblStyle w:val="Table12"/>
        <w:tblW w:w="8894" w:type="dxa"/>
        <w:jc w:val="left"/>
        <w:tblInd w:w="70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6690"/>
        <w:gridCol w:w="2203"/>
      </w:tblGrid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POWIERZCHNIA  [m2]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Obszar opracowania – etap 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1654,96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Powierzchnia biologicznie czynna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Zieleń niska, średnia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875,53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1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Powierzchnia utwardzona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keepNext w:val="true"/>
              <w:widowControl w:val="false"/>
              <w:spacing w:lineRule="auto" w:line="240" w:before="113" w:after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</w:rPr>
              <w:t>N1  N</w:t>
            </w:r>
            <w:r>
              <w:rPr>
                <w:b w:val="false"/>
                <w:bCs w:val="false"/>
                <w:color w:val="000000"/>
                <w:sz w:val="20"/>
                <w:szCs w:val="20"/>
              </w:rPr>
              <w:t>awierzchnia z kostki betonowej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52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rFonts w:ascii="Arial" w:hAnsi="Arial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N3/N4 N</w:t>
            </w:r>
            <w:r>
              <w:rPr>
                <w:b w:val="false"/>
                <w:bCs w:val="false"/>
                <w:color w:val="000000"/>
                <w:sz w:val="20"/>
                <w:szCs w:val="20"/>
              </w:rPr>
              <w:t>awierzchnia poliuretanowa natryskowa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694,9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Powierzchnia prefabrykatów betonowych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32,53</w:t>
            </w:r>
          </w:p>
        </w:tc>
      </w:tr>
      <w:tr>
        <w:trPr/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Trawnik</w:t>
            </w:r>
          </w:p>
          <w:p>
            <w:pPr>
              <w:pStyle w:val="LO-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355,53</w:t>
            </w:r>
          </w:p>
        </w:tc>
      </w:tr>
      <w:tr>
        <w:trPr/>
        <w:tc>
          <w:tcPr>
            <w:tcW w:w="669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widowControl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Zieleń projektowana</w:t>
            </w:r>
          </w:p>
        </w:tc>
        <w:tc>
          <w:tcPr>
            <w:tcW w:w="22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true"/>
              <w:widowControl w:val="false"/>
              <w:spacing w:lineRule="auto" w:line="240" w:before="113" w:after="113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520</w:t>
            </w:r>
          </w:p>
        </w:tc>
      </w:tr>
    </w:tbl>
    <w:p>
      <w:pPr>
        <w:pStyle w:val="Nagwek2"/>
        <w:numPr>
          <w:ilvl w:val="1"/>
          <w:numId w:val="4"/>
        </w:numPr>
        <w:rPr/>
      </w:pPr>
      <w:bookmarkStart w:id="56" w:name="__RefHeading___Toc3105_4050815349"/>
      <w:bookmarkStart w:id="57" w:name="_wp3l8mv5vqqp"/>
      <w:bookmarkEnd w:id="56"/>
      <w:bookmarkEnd w:id="57"/>
      <w:r>
        <w:rPr/>
        <w:t>UWARUNKOWANIA FORMALNO-PRAWNE</w:t>
      </w:r>
    </w:p>
    <w:p>
      <w:pPr>
        <w:pStyle w:val="Nagwek2"/>
        <w:numPr>
          <w:ilvl w:val="2"/>
          <w:numId w:val="4"/>
        </w:numPr>
        <w:rPr/>
      </w:pPr>
      <w:bookmarkStart w:id="58" w:name="__RefHeading___Toc3103_4050815349"/>
      <w:bookmarkStart w:id="59" w:name="_r84kwii9yjv"/>
      <w:bookmarkEnd w:id="58"/>
      <w:bookmarkEnd w:id="59"/>
      <w:r>
        <w:rPr/>
        <w:t>MPZT</w:t>
      </w:r>
    </w:p>
    <w:p>
      <w:pPr>
        <w:pStyle w:val="Normal1"/>
        <w:spacing w:lineRule="auto" w:line="276" w:before="0" w:after="140"/>
        <w:ind w:left="737" w:hanging="0"/>
        <w:rPr>
          <w:sz w:val="20"/>
          <w:szCs w:val="20"/>
        </w:rPr>
      </w:pPr>
      <w:r>
        <w:rPr>
          <w:sz w:val="20"/>
          <w:szCs w:val="20"/>
        </w:rPr>
        <w:t>Działka nr 2/14 3027 nie jest objęta Miejscowym Planem Zagospodarowania Przestrzennego.</w:t>
      </w:r>
    </w:p>
    <w:p>
      <w:pPr>
        <w:pStyle w:val="Nagwek2"/>
        <w:numPr>
          <w:ilvl w:val="2"/>
          <w:numId w:val="4"/>
        </w:numPr>
        <w:rPr/>
      </w:pPr>
      <w:bookmarkStart w:id="60" w:name="__RefHeading___Toc3101_4050815349"/>
      <w:bookmarkEnd w:id="60"/>
      <w:r>
        <w:rPr/>
        <w:t>OCHRONA KONSERWATORSKA</w:t>
      </w:r>
    </w:p>
    <w:p>
      <w:pPr>
        <w:pStyle w:val="Normal1"/>
        <w:spacing w:lineRule="auto" w:line="276" w:before="0" w:after="140"/>
        <w:ind w:left="737" w:hanging="0"/>
        <w:rPr>
          <w:sz w:val="20"/>
          <w:szCs w:val="20"/>
        </w:rPr>
      </w:pPr>
      <w:r>
        <w:rPr>
          <w:sz w:val="20"/>
          <w:szCs w:val="20"/>
        </w:rPr>
        <w:t>Nie dotyczy.</w:t>
      </w:r>
    </w:p>
    <w:p>
      <w:pPr>
        <w:pStyle w:val="Nagwek2"/>
        <w:numPr>
          <w:ilvl w:val="2"/>
          <w:numId w:val="4"/>
        </w:numPr>
        <w:rPr/>
      </w:pPr>
      <w:bookmarkStart w:id="61" w:name="__RefHeading___Toc3099_4050815349"/>
      <w:bookmarkStart w:id="62" w:name="_8j3sqcewnofi"/>
      <w:bookmarkEnd w:id="61"/>
      <w:bookmarkEnd w:id="62"/>
      <w:r>
        <w:rPr/>
        <w:t xml:space="preserve">DOSTĘPNOŚĆ DLA OSÓB NIEPEŁNOSPRAWNYCH 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Nie wprowadza się barier do korzystania z terenu przez osoby niepełnosprawne. Wszyscy użytkownicy są zobowiązani do zastosowania się od regulaminu obiektu. Teren opracowania zostanie wyposażony w elementy małej architektury przystosowane do użytkowania przez osoby z niepełnosprawnościami.</w:t>
      </w:r>
    </w:p>
    <w:p>
      <w:pPr>
        <w:pStyle w:val="Nagwek2"/>
        <w:numPr>
          <w:ilvl w:val="2"/>
          <w:numId w:val="4"/>
        </w:numPr>
        <w:rPr/>
      </w:pPr>
      <w:bookmarkStart w:id="63" w:name="__RefHeading___Toc3097_4050815349"/>
      <w:bookmarkStart w:id="64" w:name="_1xskdtd8k8vs"/>
      <w:bookmarkEnd w:id="63"/>
      <w:bookmarkEnd w:id="64"/>
      <w:r>
        <w:rPr/>
        <w:t>EKSPLOATACJA GÓRNICZA</w:t>
      </w:r>
    </w:p>
    <w:p>
      <w:pPr>
        <w:pStyle w:val="Normal1"/>
        <w:spacing w:lineRule="auto" w:line="276" w:before="0" w:after="140"/>
        <w:ind w:left="737" w:hanging="0"/>
        <w:rPr>
          <w:sz w:val="20"/>
          <w:szCs w:val="20"/>
        </w:rPr>
      </w:pPr>
      <w:r>
        <w:rPr>
          <w:sz w:val="20"/>
          <w:szCs w:val="20"/>
        </w:rPr>
        <w:t>Nie dotyczy.</w:t>
      </w:r>
    </w:p>
    <w:p>
      <w:pPr>
        <w:pStyle w:val="Nagwek2"/>
        <w:numPr>
          <w:ilvl w:val="2"/>
          <w:numId w:val="4"/>
        </w:numPr>
        <w:rPr/>
      </w:pPr>
      <w:bookmarkStart w:id="65" w:name="__RefHeading___Toc3095_4050815349"/>
      <w:bookmarkStart w:id="66" w:name="_h93d1iuuft7"/>
      <w:bookmarkEnd w:id="65"/>
      <w:bookmarkEnd w:id="66"/>
      <w:r>
        <w:rPr/>
        <w:t>ZAGROŻENIA DLA ŚRODOWISKA, ZDROWIA LUDZI  I OBIEKTÓW SĄSIEDNICH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Projektowana inwestycja nie wpłynie na pogorszenie istniejącego stanu otaczającego środowiska oraz nie będzie stanowiła zagrożenia dla higieny i zdrowia użytkowników projektowanych obiektów budowlanych i okolicznych mieszkańców.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agwek2"/>
        <w:numPr>
          <w:ilvl w:val="2"/>
          <w:numId w:val="4"/>
        </w:numPr>
        <w:rPr/>
      </w:pPr>
      <w:bookmarkStart w:id="67" w:name="__RefHeading___Toc3093_4050815349"/>
      <w:bookmarkStart w:id="68" w:name="_6ud6b5how4pc"/>
      <w:bookmarkEnd w:id="67"/>
      <w:bookmarkEnd w:id="68"/>
      <w:r>
        <w:rPr/>
        <w:t>GOSPODAROWANIE ODPADAMI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Na obszarze opracowania projektuje się usytuowanie koszy śmietnikowych, służących do czasowego gromadzenia odpadów stałych. Usuwanie odpadów ma się odbywać poprzez koncesjonowane firmy.</w:t>
      </w:r>
    </w:p>
    <w:p>
      <w:pPr>
        <w:pStyle w:val="Nagwek2"/>
        <w:numPr>
          <w:ilvl w:val="2"/>
          <w:numId w:val="4"/>
        </w:numPr>
        <w:rPr/>
      </w:pPr>
      <w:bookmarkStart w:id="69" w:name="__RefHeading___Toc3091_4050815349"/>
      <w:bookmarkStart w:id="70" w:name="_kex8qnfgjo1p"/>
      <w:bookmarkEnd w:id="69"/>
      <w:bookmarkEnd w:id="70"/>
      <w:r>
        <w:rPr/>
        <w:t>WARUNKI OCHRONY PRZECIWPOŻAROWEJ</w:t>
      </w:r>
    </w:p>
    <w:p>
      <w:pPr>
        <w:pStyle w:val="Normal1"/>
        <w:spacing w:lineRule="auto" w:line="276" w:before="0" w:after="140"/>
        <w:ind w:left="737" w:hanging="0"/>
        <w:jc w:val="both"/>
        <w:rPr>
          <w:sz w:val="20"/>
          <w:szCs w:val="20"/>
        </w:rPr>
      </w:pPr>
      <w:r>
        <w:rPr>
          <w:sz w:val="20"/>
          <w:szCs w:val="20"/>
        </w:rPr>
        <w:t>W ramach inwestycji nie projektuje się obiektów kubaturowych. Projektowane zagospodarowanie terenu jest inwestycja publiczną. Wejście na teren inwestycji odbywa się bez ograniczeń dla użytkowników. Nie przewiduje się zagrożeń związanych z pożarem. Dostęp do projektowanego zagospodarowania terenu odbywa się za pomocą ogólnodostępnych wejść. Projektowane zagospodarowanie terenu nie posiada barier uniemożliwiających ewakuację z terenu. W ramach inwestycji nie projektuje się urządzeń przeciwpożarowych.</w:t>
      </w:r>
    </w:p>
    <w:p>
      <w:pPr>
        <w:pStyle w:val="Nagwek2"/>
        <w:numPr>
          <w:ilvl w:val="2"/>
          <w:numId w:val="4"/>
        </w:numPr>
        <w:rPr/>
      </w:pPr>
      <w:bookmarkStart w:id="71" w:name="__RefHeading___Toc3089_4050815349"/>
      <w:bookmarkStart w:id="72" w:name="_6xibpnjgep0"/>
      <w:bookmarkEnd w:id="71"/>
      <w:bookmarkEnd w:id="72"/>
      <w:r>
        <w:rPr/>
        <w:t>OBSZAR ODDZIAŁYWANIA OBIEKTU</w:t>
      </w:r>
    </w:p>
    <w:p>
      <w:pPr>
        <w:pStyle w:val="Normal1"/>
        <w:spacing w:lineRule="auto" w:line="276" w:before="0" w:after="140"/>
        <w:ind w:left="737" w:hanging="0"/>
        <w:jc w:val="both"/>
        <w:rPr/>
      </w:pPr>
      <w:r>
        <w:rPr>
          <w:rStyle w:val="Strong"/>
          <w:b w:val="false"/>
          <w:bCs w:val="false"/>
          <w:sz w:val="20"/>
          <w:szCs w:val="20"/>
          <w:u w:val="none"/>
        </w:rPr>
        <w:t>Wyznaczenie obszaru oddziaływania projektowanego terenu rekreacyjnego dokonano w oparciu o § 40 oraz § 19 Rozporządzenia w sprawie Warunków Technicznych.</w:t>
      </w:r>
      <w:r>
        <w:rPr>
          <w:b w:val="false"/>
          <w:bCs w:val="false"/>
          <w:sz w:val="20"/>
          <w:szCs w:val="20"/>
          <w:u w:val="none"/>
        </w:rPr>
        <w:t xml:space="preserve"> Zapisy te określają minimalne wymagania dotyczące lokalizacji urządzeń rekreacyjnych w stosunku do budynków oraz innych elementów zagospodarowania terenu, w szczególności w zakresie zachowania odpowiednich odległości zapewniających bezpieczeństwo użytkowników oraz komfort mieszkańców. </w:t>
      </w:r>
    </w:p>
    <w:p>
      <w:pPr>
        <w:sectPr>
          <w:headerReference w:type="even" r:id="rId3"/>
          <w:headerReference w:type="default" r:id="rId4"/>
          <w:headerReference w:type="first" r:id="rId5"/>
          <w:footerReference w:type="even" r:id="rId6"/>
          <w:footerReference w:type="default" r:id="rId7"/>
          <w:footerReference w:type="first" r:id="rId8"/>
          <w:type w:val="nextPage"/>
          <w:pgSz w:w="11906" w:h="16838"/>
          <w:pgMar w:left="1134" w:right="1134" w:gutter="0" w:header="1134" w:top="1601" w:footer="1134" w:bottom="1601"/>
          <w:pgNumType w:start="1" w:fmt="decimal"/>
          <w:formProt w:val="false"/>
          <w:titlePg/>
          <w:textDirection w:val="lrTb"/>
          <w:docGrid w:type="default" w:linePitch="100" w:charSpace="0"/>
        </w:sectPr>
        <w:pStyle w:val="Normal1"/>
        <w:spacing w:lineRule="auto" w:line="276" w:before="113" w:after="113"/>
        <w:jc w:val="righ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vertAlign w:val="baseline"/>
        </w:rPr>
      </w:pPr>
      <w:r>
        <w:rPr>
          <w:sz w:val="20"/>
          <w:szCs w:val="20"/>
        </w:rPr>
        <w:t>Opracowanie:</w:t>
        <w:br/>
        <w:t>mgr inż. arch. Karol Barcz</w:t>
        <w:br/>
        <w:t>nr upr. 21/ZPOIA/OKK/2013</w:t>
      </w:r>
      <w:r>
        <w:br w:type="page"/>
      </w:r>
    </w:p>
    <w:p>
      <w:pPr>
        <w:pStyle w:val="LO-normal"/>
        <w:keepNext w:val="false"/>
        <w:keepLines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Załącznik nr 1 – Oświadczenie projektanta o sporządzeniu projektu zgodnie z obowiązującymi przepisami i zasadami wiedzy technicznej</w:t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OŚWIADCZENIE PROJEKTANTA O SPORZĄDZENIU PROJEKTU ZGODNIE Z OBOWIĄZUJĄCYMI PRZEPISAMI I ZASADAMI WIEDZY TECHNICZNEJ</w:t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0" w:after="14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  <w:t>Na podstawie art. 34 ust. 3d pkt 3 ustawy z dnia 7 lipca 1994 roku Prawo Budowlane (Dz.U. z 2021 r. poz. 2351) oświadczam własnoręcznym podpisem, że opracowany przeze mnie projekt budowlany został opracowany w sposób zgodny z wymaganiami ustawy, ustaleniami określonymi w decyzjach administracyjnych dotyczących zamierzenia budowlanego, obowiązującymi przepisami oraz zasadami wiedzy technicznej.</w:t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tbl>
      <w:tblPr>
        <w:tblStyle w:val="Table1"/>
        <w:tblW w:w="9912" w:type="dxa"/>
        <w:jc w:val="left"/>
        <w:tblInd w:w="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815"/>
        <w:gridCol w:w="5285"/>
        <w:gridCol w:w="1812"/>
      </w:tblGrid>
      <w:tr>
        <w:trPr/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BRANŻA / PROJEKTANT: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IMIĘ I NAZWISKO / UPRAWNIENIA: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PODPIS:</w:t>
            </w:r>
          </w:p>
        </w:tc>
      </w:tr>
      <w:tr>
        <w:trPr/>
        <w:tc>
          <w:tcPr>
            <w:tcW w:w="9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ARCHITEKTURA</w:t>
            </w:r>
          </w:p>
        </w:tc>
      </w:tr>
      <w:tr>
        <w:trPr/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AUTOR PROJEKTU: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mgr inż. arch. Karol Barcz</w:t>
              <w:br/>
              <w:t>nr upr. 21/ZPOIA/OKK/2013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-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pageBreakBefore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-normal"/>
        <w:keepNext w:val="false"/>
        <w:keepLines w:val="false"/>
        <w:widowControl/>
        <w:shd w:val="clear" w:fill="auto"/>
        <w:spacing w:lineRule="auto" w:line="276" w:before="113" w:after="113"/>
        <w:ind w:left="0" w:right="0" w:hanging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/>
      </w:r>
    </w:p>
    <w:sectPr>
      <w:headerReference w:type="even" r:id="rId9"/>
      <w:headerReference w:type="default" r:id="rId10"/>
      <w:headerReference w:type="first" r:id="rId11"/>
      <w:footerReference w:type="even" r:id="rId12"/>
      <w:footerReference w:type="default" r:id="rId13"/>
      <w:footerReference w:type="first" r:id="rId14"/>
      <w:type w:val="nextPage"/>
      <w:pgSz w:w="11906" w:h="16838"/>
      <w:pgMar w:left="1134" w:right="1134" w:gutter="0" w:header="1134" w:top="1601" w:footer="1134" w:bottom="1601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egoe UI Historic">
    <w:altName w:val="Segoe UI"/>
    <w:charset w:val="ee"/>
    <w:family w:val="roman"/>
    <w:pitch w:val="variable"/>
  </w:font>
  <w:font w:name="Lato">
    <w:charset w:val="ee"/>
    <w:family w:val="roman"/>
    <w:pitch w:val="variable"/>
  </w:font>
  <w:font w:name="Arial">
    <w:altName w:val="sans-serif"/>
    <w:charset w:val="ee"/>
    <w:family w:val="roman"/>
    <w:pitch w:val="variable"/>
  </w:font>
  <w:font w:name="system-ui">
    <w:altName w:val="apple-system"/>
    <w:charset w:val="ee"/>
    <w:family w:val="roman"/>
    <w:pitch w:val="variable"/>
  </w:font>
  <w:font w:name="Google Sans">
    <w:altName w:val="Arial"/>
    <w:charset w:val="ee"/>
    <w:family w:val="roman"/>
    <w:pitch w:val="variable"/>
  </w:font>
  <w:font w:name="sans-serif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  <w:font w:name="Wingdings 2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righ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str.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righ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righ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str.</w:t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right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pageBreakBefore w:val="false"/>
      <w:spacing w:lineRule="auto" w:line="276" w:before="0" w:after="140"/>
      <w:jc w:val="center"/>
      <w:rPr>
        <w:sz w:val="14"/>
        <w:szCs w:val="14"/>
      </w:rPr>
    </w:pPr>
    <w:r>
      <w:rPr>
        <w:rFonts w:eastAsia="Arial" w:cs="Arial"/>
        <w:b w:val="false"/>
        <w:bCs w:val="false"/>
        <w:i w:val="false"/>
        <w:caps w:val="false"/>
        <w:smallCaps w:val="false"/>
        <w:strike w:val="false"/>
        <w:dstrike w:val="false"/>
        <w:color w:val="000000"/>
        <w:position w:val="0"/>
        <w:sz w:val="14"/>
        <w:sz w:val="14"/>
        <w:szCs w:val="14"/>
        <w:u w:val="none"/>
        <w:shd w:fill="auto" w:val="clear"/>
        <w:vertAlign w:val="baseline"/>
      </w:rPr>
      <w:t xml:space="preserve">REMONT BOISK ORAZ MONTAŻ MAŁEJ ARCHITEKTURY ORAZ ROZBUDOWA ISTNIEJĄCYCH INSTALACJI ELEKTRYCZNYCH O OŚWIETLENIE ORAZ INSTALACJE CCTV </w:t>
    </w:r>
    <w:r>
      <w:rPr>
        <w:rFonts w:eastAsia="SimSun" w:cs="Arial"/>
        <w:b w:val="false"/>
        <w:bCs w:val="false"/>
        <w:i w:val="false"/>
        <w:caps w:val="false"/>
        <w:smallCaps w:val="false"/>
        <w:strike w:val="false"/>
        <w:dstrike w:val="false"/>
        <w:color w:val="000000"/>
        <w:kern w:val="2"/>
        <w:position w:val="0"/>
        <w:sz w:val="14"/>
        <w:sz w:val="14"/>
        <w:szCs w:val="14"/>
        <w:u w:val="none"/>
        <w:shd w:fill="auto" w:val="clear"/>
        <w:vertAlign w:val="baseline"/>
        <w:lang w:val="pl-PL" w:eastAsia="zh-CN" w:bidi="hi-IN"/>
      </w:rPr>
      <w:t>PRZY SZKOLE</w:t>
    </w:r>
    <w:r>
      <w:rPr>
        <w:rFonts w:eastAsia="SimSun" w:cs="Segoe UI Historic;Segoe UI" w:ascii="Segoe UI Historic;Segoe UI" w:hAnsi="Segoe UI Historic;Segoe UI"/>
        <w:b w:val="false"/>
        <w:bCs w:val="false"/>
        <w:i w:val="false"/>
        <w:caps w:val="false"/>
        <w:smallCaps w:val="false"/>
        <w:strike w:val="false"/>
        <w:dstrike w:val="false"/>
        <w:color w:val="050505"/>
        <w:spacing w:val="0"/>
        <w:position w:val="0"/>
        <w:sz w:val="14"/>
        <w:sz w:val="14"/>
        <w:szCs w:val="14"/>
        <w:u w:val="none"/>
        <w:shd w:fill="auto" w:val="clear"/>
        <w:vertAlign w:val="baseline"/>
      </w:rPr>
      <w:t xml:space="preserve"> </w:t>
    </w:r>
    <w:r>
      <w:rPr>
        <w:rFonts w:eastAsia="SimSun" w:cs="Arial"/>
        <w:b w:val="false"/>
        <w:bCs w:val="false"/>
        <w:i w:val="false"/>
        <w:caps w:val="false"/>
        <w:smallCaps w:val="false"/>
        <w:strike w:val="false"/>
        <w:dstrike w:val="false"/>
        <w:color w:val="050505"/>
        <w:spacing w:val="0"/>
        <w:position w:val="0"/>
        <w:sz w:val="14"/>
        <w:sz w:val="14"/>
        <w:szCs w:val="14"/>
        <w:u w:val="none"/>
        <w:shd w:fill="auto" w:val="clear"/>
        <w:vertAlign w:val="baseline"/>
      </w:rPr>
      <w:t>PODSTAWOWEJ NR 11 IM. UNICEF-U W SZCZECINIE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spacing w:lineRule="auto" w:line="276" w:before="0" w:after="140"/>
      <w:ind w:left="0" w:right="0" w:hanging="0"/>
      <w:jc w:val="center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>ZAGOSPODAROWANIE SKWERU PRZY UL. DMOWSKIEGO W SZCZECINIE</w:t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1"/>
      <w:keepNext w:val="false"/>
      <w:keepLines w:val="false"/>
      <w:pageBreakBefore w:val="false"/>
      <w:widowControl/>
      <w:shd w:val="clear" w:fill="auto"/>
      <w:tabs>
        <w:tab w:val="clear" w:pos="720"/>
        <w:tab w:val="center" w:pos="4819" w:leader="none"/>
        <w:tab w:val="right" w:pos="9638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vertAlign w:val="baseline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4">
    <w:lvl w:ilvl="0">
      <w:start w:val="1"/>
      <w:numFmt w:val="upperRoman"/>
      <w:lvlText w:val=" %1 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 %2 ."/>
      <w:lvlJc w:val="left"/>
      <w:pPr>
        <w:tabs>
          <w:tab w:val="num" w:pos="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sz w:val="20"/>
        <w:b/>
        <w:szCs w:val="20"/>
        <w:bCs/>
        <w:rFonts w:eastAsia="Arial" w:cs="Arial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  <w:rPr>
        <w:sz w:val="20"/>
        <w:szCs w:val="20"/>
        <w:color w:val="auto"/>
      </w:rPr>
    </w:lvl>
    <w:lvl w:ilvl="4">
      <w:start w:val="1"/>
      <w:numFmt w:val="decimal"/>
      <w:lvlText w:val=" %1.%2.%3.%4.%5 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6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1894"/>
        </w:tabs>
        <w:ind w:left="189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2254"/>
        </w:tabs>
        <w:ind w:left="225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614"/>
        </w:tabs>
        <w:ind w:left="261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974"/>
        </w:tabs>
        <w:ind w:left="297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3334"/>
        </w:tabs>
        <w:ind w:left="333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694"/>
        </w:tabs>
        <w:ind w:left="369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054"/>
        </w:tabs>
        <w:ind w:left="405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4414"/>
        </w:tabs>
        <w:ind w:left="441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774"/>
        </w:tabs>
        <w:ind w:left="4774" w:hanging="360"/>
      </w:pPr>
      <w:rPr>
        <w:rFonts w:ascii="OpenSymbol" w:hAnsi="OpenSymbol" w:cs="Open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208"/>
        </w:tabs>
        <w:ind w:left="1000" w:hanging="432"/>
      </w:pPr>
      <w:rPr>
        <w:sz w:val="20"/>
        <w:b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4"/>
      <w:szCs w:val="24"/>
      <w:lang w:val="pl-PL" w:eastAsia="zh-CN" w:bidi="hi-IN"/>
    </w:rPr>
  </w:style>
  <w:style w:type="paragraph" w:styleId="Nagwek1">
    <w:name w:val="Heading 1"/>
    <w:basedOn w:val="Normal1"/>
    <w:next w:val="Normal1"/>
    <w:qFormat/>
    <w:pPr>
      <w:keepNext w:val="true"/>
      <w:spacing w:lineRule="auto" w:line="240" w:before="113" w:after="113"/>
      <w:ind w:left="720" w:right="0" w:hanging="360"/>
    </w:pPr>
    <w:rPr>
      <w:rFonts w:ascii="Arial" w:hAnsi="Arial" w:eastAsia="Arial" w:cs="Arial"/>
      <w:b/>
      <w:sz w:val="24"/>
      <w:szCs w:val="24"/>
    </w:rPr>
  </w:style>
  <w:style w:type="paragraph" w:styleId="Nagwek2">
    <w:name w:val="Heading 2"/>
    <w:basedOn w:val="Normal1"/>
    <w:next w:val="Normal1"/>
    <w:qFormat/>
    <w:pPr>
      <w:keepNext w:val="false"/>
      <w:keepLines w:val="false"/>
      <w:pageBreakBefore w:val="false"/>
      <w:widowControl/>
      <w:shd w:val="clear" w:fill="auto"/>
      <w:spacing w:lineRule="auto" w:line="240" w:before="113" w:after="113"/>
      <w:ind w:left="1080" w:right="0" w:hanging="360"/>
      <w:jc w:val="left"/>
    </w:pPr>
    <w:rPr>
      <w:rFonts w:ascii="Arial" w:hAnsi="Arial" w:eastAsia="Arial" w:cs="Arial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paragraph" w:styleId="Nagwek3">
    <w:name w:val="Heading 3"/>
    <w:basedOn w:val="Normal1"/>
    <w:next w:val="Normal1"/>
    <w:qFormat/>
    <w:pPr>
      <w:keepNext w:val="false"/>
      <w:keepLines w:val="false"/>
      <w:pageBreakBefore w:val="false"/>
      <w:widowControl/>
      <w:shd w:val="clear" w:fill="auto"/>
      <w:spacing w:lineRule="auto" w:line="240" w:before="113" w:after="113"/>
      <w:ind w:left="1440" w:right="0" w:hanging="360"/>
      <w:jc w:val="left"/>
    </w:pPr>
    <w:rPr>
      <w:rFonts w:ascii="Arial" w:hAnsi="Arial" w:eastAsia="Arial" w:cs="Arial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paragraph" w:styleId="Nagwek4">
    <w:name w:val="Heading 4"/>
    <w:basedOn w:val="Normal1"/>
    <w:next w:val="Normal1"/>
    <w:qFormat/>
    <w:pPr>
      <w:keepNext w:val="true"/>
      <w:spacing w:lineRule="auto" w:line="240" w:before="120" w:after="120"/>
      <w:ind w:left="1800" w:hanging="360"/>
    </w:pPr>
    <w:rPr>
      <w:rFonts w:ascii="Calibri" w:hAnsi="Calibri" w:eastAsia="Calibri" w:cs="Calibri"/>
      <w:b/>
      <w:i w:val="false"/>
      <w:sz w:val="20"/>
      <w:szCs w:val="20"/>
    </w:rPr>
  </w:style>
  <w:style w:type="paragraph" w:styleId="Nagwek5">
    <w:name w:val="Heading 5"/>
    <w:basedOn w:val="Normal1"/>
    <w:next w:val="Normal1"/>
    <w:qFormat/>
    <w:pPr>
      <w:keepNext w:val="true"/>
      <w:spacing w:lineRule="auto" w:line="240" w:before="120" w:after="60"/>
      <w:ind w:left="2160" w:hanging="360"/>
    </w:pPr>
    <w:rPr>
      <w:rFonts w:ascii="Liberation Sans" w:hAnsi="Liberation Sans" w:eastAsia="Liberation Sans" w:cs="Liberation Sans"/>
      <w:b/>
      <w:sz w:val="24"/>
      <w:szCs w:val="24"/>
    </w:rPr>
  </w:style>
  <w:style w:type="paragraph" w:styleId="Nagwek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Czeinternetowe">
    <w:name w:val="Hyperlink"/>
    <w:rPr>
      <w:color w:val="000080"/>
      <w:u w:val="single"/>
    </w:rPr>
  </w:style>
  <w:style w:type="character" w:styleId="Czeindeksu">
    <w:name w:val="Łącze indeksu"/>
    <w:qFormat/>
    <w:rPr/>
  </w:style>
  <w:style w:type="character" w:styleId="Znakiwypunktowania">
    <w:name w:val="Znaki wypunktowania"/>
    <w:qFormat/>
    <w:rPr>
      <w:rFonts w:ascii="Arial" w:hAnsi="Arial" w:eastAsia="OpenSymbol" w:cs="OpenSymbol"/>
    </w:rPr>
  </w:style>
  <w:style w:type="character" w:styleId="WW8Num3z1">
    <w:name w:val="WW8Num3z1"/>
    <w:qFormat/>
    <w:rPr>
      <w:rFonts w:ascii="Symbol" w:hAnsi="Symbol" w:cs="Symbol"/>
    </w:rPr>
  </w:style>
  <w:style w:type="character" w:styleId="WW8Num3z0">
    <w:name w:val="WW8Num3z0"/>
    <w:qFormat/>
    <w:rPr>
      <w:rFonts w:ascii="Symbol" w:hAnsi="Symbol" w:cs="OpenSymbol;Arial Unicode MS"/>
    </w:rPr>
  </w:style>
  <w:style w:type="character" w:styleId="Strong">
    <w:name w:val="Strong"/>
    <w:qFormat/>
    <w:rPr>
      <w:b/>
      <w:bCs/>
    </w:rPr>
  </w:style>
  <w:style w:type="character" w:styleId="Znakinumeracji">
    <w:name w:val="Znaki numeracji"/>
    <w:qFormat/>
    <w:rPr/>
  </w:style>
  <w:style w:type="character" w:styleId="Wyrnienie">
    <w:name w:val="Emphasis"/>
    <w:qFormat/>
    <w:rPr>
      <w:i/>
      <w:iCs/>
    </w:rPr>
  </w:style>
  <w:style w:type="character" w:styleId="WW8Num4z0">
    <w:name w:val="WW8Num4z0"/>
    <w:qFormat/>
    <w:rPr>
      <w:rFonts w:cs="Times New Roman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1z0">
    <w:name w:val="WW8Num11z0"/>
    <w:qFormat/>
    <w:rPr>
      <w:rFonts w:ascii="Arial" w:hAnsi="Arial" w:cs="Arial"/>
    </w:rPr>
  </w:style>
  <w:style w:type="character" w:styleId="WW8Num11z1">
    <w:name w:val="WW8Num11z1"/>
    <w:qFormat/>
    <w:rPr>
      <w:b/>
      <w:sz w:val="20"/>
      <w:szCs w:val="20"/>
    </w:rPr>
  </w:style>
  <w:style w:type="character" w:styleId="WW8Num11z2">
    <w:name w:val="WW8Num11z2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4"/>
      <w:szCs w:val="24"/>
      <w:lang w:val="pl-PL" w:eastAsia="zh-CN" w:bidi="hi-IN"/>
    </w:rPr>
  </w:style>
  <w:style w:type="paragraph" w:styleId="Tytu">
    <w:name w:val="Title"/>
    <w:basedOn w:val="Normal1"/>
    <w:next w:val="Normal1"/>
    <w:qFormat/>
    <w:pPr>
      <w:keepNext w:val="true"/>
      <w:spacing w:lineRule="auto" w:line="240" w:before="240" w:after="120"/>
      <w:jc w:val="center"/>
    </w:pPr>
    <w:rPr>
      <w:rFonts w:ascii="Liberation Sans" w:hAnsi="Liberation Sans" w:eastAsia="Liberation Sans" w:cs="Liberation Sans"/>
      <w:b/>
      <w:sz w:val="56"/>
      <w:szCs w:val="56"/>
    </w:rPr>
  </w:style>
  <w:style w:type="paragraph" w:styleId="Podtytu">
    <w:name w:val="Subtitle"/>
    <w:basedOn w:val="Normal1"/>
    <w:next w:val="Normal1"/>
    <w:qFormat/>
    <w:pPr>
      <w:keepNext w:val="true"/>
      <w:spacing w:lineRule="auto" w:line="240" w:before="60" w:after="120"/>
      <w:jc w:val="center"/>
    </w:pPr>
    <w:rPr>
      <w:rFonts w:ascii="Liberation Sans" w:hAnsi="Liberation Sans" w:eastAsia="Liberation Sans" w:cs="Liberation Sans"/>
      <w:sz w:val="36"/>
      <w:szCs w:val="36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Gwkaistopka"/>
    <w:pPr/>
    <w:rPr/>
  </w:style>
  <w:style w:type="paragraph" w:styleId="Stopka">
    <w:name w:val="Footer"/>
    <w:basedOn w:val="Gwkaistopka"/>
    <w:pPr/>
    <w:rPr/>
  </w:style>
  <w:style w:type="paragraph" w:styleId="Spistreci2">
    <w:name w:val="TOC 2"/>
    <w:basedOn w:val="Indeks"/>
    <w:pPr>
      <w:tabs>
        <w:tab w:val="clear" w:pos="720"/>
        <w:tab w:val="right" w:pos="9355" w:leader="dot"/>
      </w:tabs>
      <w:ind w:left="283" w:hanging="0"/>
    </w:pPr>
    <w:rPr/>
  </w:style>
  <w:style w:type="paragraph" w:styleId="Spistreci3">
    <w:name w:val="TOC 3"/>
    <w:basedOn w:val="Indeks"/>
    <w:pPr>
      <w:tabs>
        <w:tab w:val="clear" w:pos="720"/>
        <w:tab w:val="right" w:pos="9071" w:leader="dot"/>
      </w:tabs>
      <w:ind w:left="567" w:hanging="0"/>
    </w:pPr>
    <w:rPr/>
  </w:style>
  <w:style w:type="paragraph" w:styleId="Spistreci4">
    <w:name w:val="TOC 4"/>
    <w:basedOn w:val="Indeks"/>
    <w:pPr>
      <w:tabs>
        <w:tab w:val="clear" w:pos="720"/>
        <w:tab w:val="right" w:pos="8788" w:leader="dot"/>
      </w:tabs>
      <w:ind w:left="850" w:hanging="0"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Podpunktywtrescitekstu">
    <w:name w:val="Podpunkty w tresci tekstu"/>
    <w:basedOn w:val="Tretekstu"/>
    <w:qFormat/>
    <w:pPr>
      <w:bidi w:val="0"/>
      <w:spacing w:lineRule="auto" w:line="276" w:before="0" w:after="0"/>
      <w:ind w:left="794" w:right="0" w:hanging="340"/>
      <w:jc w:val="both"/>
    </w:pPr>
    <w:rPr>
      <w:rFonts w:ascii="Arial" w:hAnsi="Arial"/>
      <w:sz w:val="20"/>
      <w:szCs w:val="20"/>
    </w:rPr>
  </w:style>
  <w:style w:type="paragraph" w:styleId="LO-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4"/>
      <w:szCs w:val="24"/>
      <w:lang w:val="pl-PL" w:eastAsia="zh-CN" w:bidi="hi-IN"/>
    </w:rPr>
  </w:style>
  <w:style w:type="paragraph" w:styleId="Tabelestrontytuowych">
    <w:name w:val="Tabele stron tytułowych"/>
    <w:basedOn w:val="Zawartotabeli"/>
    <w:qFormat/>
    <w:pPr>
      <w:jc w:val="left"/>
    </w:pPr>
    <w:rPr>
      <w:sz w:val="16"/>
      <w:szCs w:val="16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Arial" w:cs="Arial"/>
      <w:color w:val="auto"/>
      <w:kern w:val="2"/>
      <w:sz w:val="24"/>
      <w:szCs w:val="24"/>
      <w:lang w:val="pl-PL" w:eastAsia="zh-CN" w:bidi="hi-IN"/>
    </w:rPr>
  </w:style>
  <w:style w:type="paragraph" w:styleId="Textbody">
    <w:name w:val="Text body"/>
    <w:basedOn w:val="Standard"/>
    <w:qFormat/>
    <w:pPr>
      <w:spacing w:lineRule="auto" w:line="276" w:before="0" w:after="140"/>
      <w:ind w:left="737" w:hanging="0"/>
    </w:pPr>
    <w:rPr>
      <w:sz w:val="20"/>
      <w:szCs w:val="20"/>
    </w:rPr>
  </w:style>
  <w:style w:type="paragraph" w:styleId="Tekststrontytuowych">
    <w:name w:val="Tekst stron tytułowych"/>
    <w:basedOn w:val="Textbody"/>
    <w:qFormat/>
    <w:pPr>
      <w:ind w:left="0" w:hanging="0"/>
      <w:jc w:val="center"/>
    </w:pPr>
    <w:rPr/>
  </w:style>
  <w:style w:type="paragraph" w:styleId="Szarynaglowektabelinastronietyt">
    <w:name w:val="Szary naglowek tabeli na stronie tyt"/>
    <w:basedOn w:val="Normal"/>
    <w:qFormat/>
    <w:pPr>
      <w:shd w:val="clear" w:fill="CCCCCC"/>
    </w:pPr>
    <w:rPr>
      <w:rFonts w:ascii="Arial" w:hAnsi="Arial" w:cs="Arial"/>
      <w:sz w:val="12"/>
    </w:rPr>
  </w:style>
  <w:style w:type="paragraph" w:styleId="Tekstdostronytytulowej">
    <w:name w:val="Tekst do strony tytulowej"/>
    <w:basedOn w:val="Szarynaglowektabelinastronietyt"/>
    <w:qFormat/>
    <w:pPr>
      <w:shd w:val="clear" w:fill="auto"/>
      <w:spacing w:before="0" w:after="0"/>
    </w:pPr>
    <w:rPr>
      <w:sz w:val="20"/>
    </w:rPr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17">
    <w:name w:val="WW8Num17"/>
    <w:qFormat/>
  </w:style>
  <w:style w:type="numbering" w:styleId="WW8Num11">
    <w:name w:val="WW8Num11"/>
    <w:qFormat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ortalzp.pl/kody-cpv/szczegoly/naprawa-boisk-sportowych-6811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eader" Target="header4.xml"/><Relationship Id="rId10" Type="http://schemas.openxmlformats.org/officeDocument/2006/relationships/header" Target="header5.xml"/><Relationship Id="rId11" Type="http://schemas.openxmlformats.org/officeDocument/2006/relationships/header" Target="header6.xml"/><Relationship Id="rId12" Type="http://schemas.openxmlformats.org/officeDocument/2006/relationships/footer" Target="footer4.xml"/><Relationship Id="rId13" Type="http://schemas.openxmlformats.org/officeDocument/2006/relationships/footer" Target="footer5.xml"/><Relationship Id="rId14" Type="http://schemas.openxmlformats.org/officeDocument/2006/relationships/footer" Target="footer6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2011</TotalTime>
  <Application>LibreOffice/7.5.4.2$Windows_X86_64 LibreOffice_project/36ccfdc35048b057fd9854c757a8b67ec53977b6</Application>
  <AppVersion>15.0000</AppVersion>
  <Pages>15</Pages>
  <Words>4029</Words>
  <Characters>27162</Characters>
  <CharactersWithSpaces>30872</CharactersWithSpaces>
  <Paragraphs>369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2012-10-01T11:00:00Z</dcterms:created>
  <dc:creator>JOSEPH</dc:creator>
  <dc:description/>
  <dc:language>pl-PL</dc:language>
  <cp:lastModifiedBy/>
  <cp:lastPrinted>2026-02-16T09:32:43Z</cp:lastPrinted>
  <dcterms:modified xsi:type="dcterms:W3CDTF">2026-03-04T13:39:19Z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